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5F082" w14:textId="182B28F0" w:rsidR="00AE023D" w:rsidRDefault="004704E7" w:rsidP="0034533D">
      <w:pPr>
        <w:spacing w:before="240" w:after="120"/>
        <w:rPr>
          <w:rFonts w:ascii="Arial" w:hAnsi="Arial" w:cs="Arial"/>
          <w:b/>
          <w:sz w:val="22"/>
        </w:rPr>
      </w:pPr>
      <w:r>
        <w:rPr>
          <w:rFonts w:ascii="Arial" w:hAnsi="Arial" w:cs="Arial"/>
          <w:b/>
          <w:noProof/>
          <w:sz w:val="22"/>
        </w:rPr>
        <w:drawing>
          <wp:anchor distT="0" distB="0" distL="114300" distR="114300" simplePos="0" relativeHeight="251658240" behindDoc="0" locked="0" layoutInCell="1" allowOverlap="1" wp14:anchorId="6CA10366" wp14:editId="30C35113">
            <wp:simplePos x="0" y="0"/>
            <wp:positionH relativeFrom="column">
              <wp:posOffset>2660650</wp:posOffset>
            </wp:positionH>
            <wp:positionV relativeFrom="paragraph">
              <wp:posOffset>-57150</wp:posOffset>
            </wp:positionV>
            <wp:extent cx="755650" cy="711200"/>
            <wp:effectExtent l="0" t="0" r="6350" b="0"/>
            <wp:wrapNone/>
            <wp:docPr id="17145400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0" cy="711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D11DE8" w14:textId="27A24B30" w:rsidR="00E97613" w:rsidRDefault="00E97613" w:rsidP="0034533D">
      <w:pPr>
        <w:spacing w:before="240" w:after="120"/>
        <w:rPr>
          <w:rFonts w:ascii="Arial" w:hAnsi="Arial" w:cs="Arial"/>
          <w:b/>
          <w:sz w:val="22"/>
        </w:rPr>
      </w:pPr>
    </w:p>
    <w:p w14:paraId="0592B49E" w14:textId="47082E2C" w:rsidR="00E97613" w:rsidRPr="00105832" w:rsidRDefault="00E97613" w:rsidP="00190D28">
      <w:pPr>
        <w:jc w:val="center"/>
        <w:rPr>
          <w:rFonts w:asciiTheme="majorBidi" w:hAnsiTheme="majorBidi" w:cstheme="majorBidi"/>
          <w:b/>
        </w:rPr>
      </w:pPr>
      <w:r w:rsidRPr="00105832">
        <w:rPr>
          <w:rFonts w:asciiTheme="majorBidi" w:hAnsiTheme="majorBidi" w:cstheme="majorBidi"/>
          <w:b/>
        </w:rPr>
        <w:t>Aga Khan Health Services (AKHS-A)</w:t>
      </w:r>
    </w:p>
    <w:p w14:paraId="15DE07E9" w14:textId="7F7602F1" w:rsidR="00E97613" w:rsidRDefault="00E97613" w:rsidP="00190D28">
      <w:pPr>
        <w:jc w:val="center"/>
        <w:rPr>
          <w:rFonts w:asciiTheme="majorBidi" w:hAnsiTheme="majorBidi" w:cstheme="majorBidi"/>
          <w:b/>
        </w:rPr>
      </w:pPr>
      <w:r w:rsidRPr="00105832">
        <w:rPr>
          <w:rFonts w:asciiTheme="majorBidi" w:hAnsiTheme="majorBidi" w:cstheme="majorBidi"/>
          <w:b/>
        </w:rPr>
        <w:t>National Program Office</w:t>
      </w:r>
    </w:p>
    <w:p w14:paraId="003A5698" w14:textId="77777777" w:rsidR="00130F1C" w:rsidRPr="00105832" w:rsidRDefault="00130F1C" w:rsidP="00190D28">
      <w:pPr>
        <w:jc w:val="center"/>
        <w:rPr>
          <w:rFonts w:asciiTheme="majorBidi" w:hAnsiTheme="majorBidi" w:cstheme="majorBidi"/>
          <w:b/>
        </w:rPr>
      </w:pPr>
    </w:p>
    <w:p w14:paraId="3F743717" w14:textId="5918C522" w:rsidR="00130F1C" w:rsidRDefault="00E97613" w:rsidP="00130F1C">
      <w:pPr>
        <w:spacing w:before="240" w:after="120"/>
        <w:jc w:val="center"/>
        <w:rPr>
          <w:rFonts w:asciiTheme="majorBidi" w:hAnsiTheme="majorBidi" w:cstheme="majorBidi"/>
          <w:b/>
          <w:sz w:val="32"/>
          <w:szCs w:val="32"/>
        </w:rPr>
      </w:pPr>
      <w:r w:rsidRPr="00105832">
        <w:rPr>
          <w:rFonts w:asciiTheme="majorBidi" w:hAnsiTheme="majorBidi" w:cstheme="majorBidi"/>
          <w:b/>
          <w:sz w:val="32"/>
          <w:szCs w:val="32"/>
        </w:rPr>
        <w:t>Invitation to Tender (ITT)</w:t>
      </w:r>
    </w:p>
    <w:p w14:paraId="530FB2DE" w14:textId="77777777" w:rsidR="00130F1C" w:rsidRPr="00130F1C" w:rsidRDefault="00130F1C" w:rsidP="00130F1C">
      <w:pPr>
        <w:spacing w:before="240" w:after="120"/>
        <w:jc w:val="center"/>
        <w:rPr>
          <w:rFonts w:asciiTheme="majorBidi" w:hAnsiTheme="majorBidi" w:cstheme="majorBidi"/>
          <w:b/>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7110"/>
      </w:tblGrid>
      <w:tr w:rsidR="0034533D" w:rsidRPr="0034533D" w14:paraId="36C17BA5" w14:textId="77777777" w:rsidTr="00190D28">
        <w:trPr>
          <w:trHeight w:val="422"/>
        </w:trPr>
        <w:tc>
          <w:tcPr>
            <w:tcW w:w="2520" w:type="dxa"/>
            <w:vAlign w:val="center"/>
          </w:tcPr>
          <w:p w14:paraId="6ED66C9A" w14:textId="75120857"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Date:   </w:t>
            </w:r>
          </w:p>
        </w:tc>
        <w:tc>
          <w:tcPr>
            <w:tcW w:w="7110" w:type="dxa"/>
            <w:vAlign w:val="center"/>
          </w:tcPr>
          <w:p w14:paraId="331138EC" w14:textId="732DC677" w:rsidR="0034533D" w:rsidRPr="00DA32A2" w:rsidRDefault="00DA32A2" w:rsidP="00B81107">
            <w:pPr>
              <w:spacing w:after="120"/>
              <w:rPr>
                <w:rFonts w:ascii="Amasis MT Pro Light" w:eastAsia="Times New Roman" w:hAnsi="Amasis MT Pro Light" w:cs="Times New Roman"/>
                <w:lang w:eastAsia="x-none"/>
              </w:rPr>
            </w:pPr>
            <w:r w:rsidRPr="00DA32A2">
              <w:rPr>
                <w:rFonts w:ascii="Amasis MT Pro Light" w:eastAsia="Times New Roman" w:hAnsi="Amasis MT Pro Light" w:cs="Times New Roman"/>
                <w:lang w:eastAsia="x-none"/>
              </w:rPr>
              <w:t>06</w:t>
            </w:r>
            <w:r w:rsidR="00414353" w:rsidRPr="00DA32A2">
              <w:rPr>
                <w:rFonts w:ascii="Amasis MT Pro Light" w:eastAsia="Times New Roman" w:hAnsi="Amasis MT Pro Light" w:cs="Times New Roman"/>
                <w:lang w:eastAsia="x-none"/>
              </w:rPr>
              <w:t>-</w:t>
            </w:r>
            <w:r w:rsidRPr="00DA32A2">
              <w:rPr>
                <w:rFonts w:ascii="Amasis MT Pro Light" w:eastAsia="Times New Roman" w:hAnsi="Amasis MT Pro Light" w:cs="Times New Roman"/>
                <w:lang w:eastAsia="x-none"/>
              </w:rPr>
              <w:t>Jan</w:t>
            </w:r>
            <w:r w:rsidR="00414353" w:rsidRPr="00DA32A2">
              <w:rPr>
                <w:rFonts w:ascii="Amasis MT Pro Light" w:eastAsia="Times New Roman" w:hAnsi="Amasis MT Pro Light" w:cs="Times New Roman"/>
                <w:lang w:eastAsia="x-none"/>
              </w:rPr>
              <w:t>-202</w:t>
            </w:r>
            <w:r w:rsidRPr="00DA32A2">
              <w:rPr>
                <w:rFonts w:ascii="Amasis MT Pro Light" w:eastAsia="Times New Roman" w:hAnsi="Amasis MT Pro Light" w:cs="Times New Roman"/>
                <w:lang w:eastAsia="x-none"/>
              </w:rPr>
              <w:t>5</w:t>
            </w:r>
          </w:p>
        </w:tc>
      </w:tr>
      <w:tr w:rsidR="0034533D" w:rsidRPr="0034533D" w14:paraId="6CFD8B88" w14:textId="77777777" w:rsidTr="00190D28">
        <w:trPr>
          <w:trHeight w:val="296"/>
        </w:trPr>
        <w:tc>
          <w:tcPr>
            <w:tcW w:w="2520" w:type="dxa"/>
          </w:tcPr>
          <w:p w14:paraId="37B12E7A" w14:textId="224EE1EA"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Reference No.: </w:t>
            </w:r>
            <w:r w:rsidR="00B81107" w:rsidRPr="00130F1C">
              <w:rPr>
                <w:rFonts w:asciiTheme="majorBidi" w:hAnsiTheme="majorBidi" w:cstheme="majorBidi"/>
                <w:b/>
              </w:rPr>
              <w:t xml:space="preserve"> </w:t>
            </w:r>
          </w:p>
        </w:tc>
        <w:tc>
          <w:tcPr>
            <w:tcW w:w="7110" w:type="dxa"/>
          </w:tcPr>
          <w:p w14:paraId="2350C761" w14:textId="0A1B7974" w:rsidR="0034533D" w:rsidRPr="00DA32A2" w:rsidRDefault="00BF2BB9" w:rsidP="00B81107">
            <w:pPr>
              <w:spacing w:after="120"/>
              <w:rPr>
                <w:rFonts w:ascii="Amasis MT Pro Light" w:eastAsia="Times New Roman" w:hAnsi="Amasis MT Pro Light" w:cs="Times New Roman"/>
                <w:lang w:eastAsia="x-none"/>
              </w:rPr>
            </w:pPr>
            <w:bookmarkStart w:id="0" w:name="_Hlk181022748"/>
            <w:r w:rsidRPr="00DA32A2">
              <w:rPr>
                <w:rFonts w:ascii="Amasis MT Pro Light" w:eastAsia="Times New Roman" w:hAnsi="Amasis MT Pro Light" w:cs="Times New Roman"/>
                <w:lang w:eastAsia="x-none"/>
              </w:rPr>
              <w:t>NCB/</w:t>
            </w:r>
            <w:r w:rsidR="00DA32A2" w:rsidRPr="00DA32A2">
              <w:rPr>
                <w:rFonts w:ascii="Amasis MT Pro Light" w:eastAsia="Times New Roman" w:hAnsi="Amasis MT Pro Light" w:cs="Times New Roman"/>
                <w:lang w:eastAsia="x-none"/>
              </w:rPr>
              <w:t>G</w:t>
            </w:r>
            <w:r w:rsidRPr="00DA32A2">
              <w:rPr>
                <w:rFonts w:ascii="Amasis MT Pro Light" w:eastAsia="Times New Roman" w:hAnsi="Amasis MT Pro Light" w:cs="Times New Roman"/>
                <w:lang w:eastAsia="x-none"/>
              </w:rPr>
              <w:t>/0</w:t>
            </w:r>
            <w:r w:rsidR="00DA32A2" w:rsidRPr="00DA32A2">
              <w:rPr>
                <w:rFonts w:ascii="Amasis MT Pro Light" w:eastAsia="Times New Roman" w:hAnsi="Amasis MT Pro Light" w:cs="Times New Roman"/>
                <w:lang w:eastAsia="x-none"/>
              </w:rPr>
              <w:t>0</w:t>
            </w:r>
            <w:r w:rsidRPr="00DA32A2">
              <w:rPr>
                <w:rFonts w:ascii="Amasis MT Pro Light" w:eastAsia="Times New Roman" w:hAnsi="Amasis MT Pro Light" w:cs="Times New Roman"/>
                <w:lang w:eastAsia="x-none"/>
              </w:rPr>
              <w:t>0</w:t>
            </w:r>
            <w:r w:rsidR="00DA32A2" w:rsidRPr="00DA32A2">
              <w:rPr>
                <w:rFonts w:ascii="Amasis MT Pro Light" w:eastAsia="Times New Roman" w:hAnsi="Amasis MT Pro Light" w:cs="Times New Roman"/>
                <w:lang w:eastAsia="x-none"/>
              </w:rPr>
              <w:t>1</w:t>
            </w:r>
            <w:r w:rsidRPr="00DA32A2">
              <w:rPr>
                <w:rFonts w:ascii="Amasis MT Pro Light" w:eastAsia="Times New Roman" w:hAnsi="Amasis MT Pro Light" w:cs="Times New Roman"/>
                <w:lang w:eastAsia="x-none"/>
              </w:rPr>
              <w:t>/</w:t>
            </w:r>
            <w:r w:rsidR="00DA32A2" w:rsidRPr="00DA32A2">
              <w:rPr>
                <w:rFonts w:ascii="Amasis MT Pro Light" w:eastAsia="Times New Roman" w:hAnsi="Amasis MT Pro Light" w:cs="Times New Roman"/>
                <w:lang w:eastAsia="x-none"/>
              </w:rPr>
              <w:t>GP/</w:t>
            </w:r>
            <w:r w:rsidRPr="00DA32A2">
              <w:rPr>
                <w:rFonts w:ascii="Amasis MT Pro Light" w:eastAsia="Times New Roman" w:hAnsi="Amasis MT Pro Light" w:cs="Times New Roman"/>
                <w:lang w:eastAsia="x-none"/>
              </w:rPr>
              <w:t>202</w:t>
            </w:r>
            <w:bookmarkEnd w:id="0"/>
            <w:r w:rsidR="00DA32A2" w:rsidRPr="00DA32A2">
              <w:rPr>
                <w:rFonts w:ascii="Amasis MT Pro Light" w:eastAsia="Times New Roman" w:hAnsi="Amasis MT Pro Light" w:cs="Times New Roman"/>
                <w:lang w:eastAsia="x-none"/>
              </w:rPr>
              <w:t>5</w:t>
            </w:r>
            <w:r w:rsidRPr="00DA32A2">
              <w:rPr>
                <w:rFonts w:ascii="Amasis MT Pro Light" w:eastAsia="Times New Roman" w:hAnsi="Amasis MT Pro Light" w:cs="Times New Roman"/>
                <w:lang w:eastAsia="x-none"/>
              </w:rPr>
              <w:tab/>
            </w:r>
          </w:p>
        </w:tc>
      </w:tr>
      <w:tr w:rsidR="0034533D" w:rsidRPr="0034533D" w14:paraId="2133B463" w14:textId="77777777" w:rsidTr="002E709A">
        <w:trPr>
          <w:trHeight w:val="594"/>
        </w:trPr>
        <w:tc>
          <w:tcPr>
            <w:tcW w:w="2520" w:type="dxa"/>
            <w:vAlign w:val="center"/>
          </w:tcPr>
          <w:p w14:paraId="55DEE28E" w14:textId="6BCBDB42"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Package </w:t>
            </w:r>
            <w:r w:rsidR="00D53902" w:rsidRPr="00130F1C">
              <w:rPr>
                <w:rFonts w:asciiTheme="majorBidi" w:hAnsiTheme="majorBidi" w:cstheme="majorBidi"/>
                <w:b/>
              </w:rPr>
              <w:t>Name</w:t>
            </w:r>
            <w:r w:rsidRPr="00130F1C">
              <w:rPr>
                <w:rFonts w:asciiTheme="majorBidi" w:hAnsiTheme="majorBidi" w:cstheme="majorBidi"/>
                <w:b/>
              </w:rPr>
              <w:t xml:space="preserve">: </w:t>
            </w:r>
          </w:p>
        </w:tc>
        <w:tc>
          <w:tcPr>
            <w:tcW w:w="7110" w:type="dxa"/>
            <w:vAlign w:val="center"/>
          </w:tcPr>
          <w:p w14:paraId="797C10BC" w14:textId="77777777" w:rsidR="00414353" w:rsidRDefault="00414353" w:rsidP="00414353">
            <w:pPr>
              <w:spacing w:line="276" w:lineRule="auto"/>
              <w:jc w:val="center"/>
              <w:rPr>
                <w:color w:val="000000"/>
                <w:sz w:val="28"/>
                <w:szCs w:val="28"/>
              </w:rPr>
            </w:pPr>
          </w:p>
          <w:p w14:paraId="62A64F0E" w14:textId="65579F02" w:rsidR="0034533D" w:rsidRPr="00322BBB" w:rsidRDefault="00DA32A2" w:rsidP="002E709A">
            <w:pPr>
              <w:spacing w:after="120"/>
              <w:rPr>
                <w:rFonts w:ascii="Amasis MT Pro Light" w:hAnsi="Amasis MT Pro Light" w:cs="Arial"/>
                <w:bCs/>
              </w:rPr>
            </w:pPr>
            <w:bookmarkStart w:id="1" w:name="_Hlk186373841"/>
            <w:r>
              <w:rPr>
                <w:rFonts w:ascii="Amasis MT Pro Light" w:eastAsia="Times New Roman" w:hAnsi="Amasis MT Pro Light" w:cs="Times New Roman"/>
                <w:lang w:eastAsia="x-none"/>
              </w:rPr>
              <w:t>Procurement of f</w:t>
            </w:r>
            <w:r w:rsidRPr="005D44F5">
              <w:rPr>
                <w:rFonts w:ascii="Amasis MT Pro Light" w:eastAsia="Times New Roman" w:hAnsi="Amasis MT Pro Light" w:cs="Times New Roman"/>
                <w:lang w:eastAsia="x-none"/>
              </w:rPr>
              <w:t xml:space="preserve">uel </w:t>
            </w:r>
            <w:r>
              <w:rPr>
                <w:rFonts w:ascii="Amasis MT Pro Light" w:eastAsia="Times New Roman" w:hAnsi="Amasis MT Pro Light" w:cs="Times New Roman"/>
                <w:lang w:eastAsia="x-none"/>
              </w:rPr>
              <w:t>(</w:t>
            </w:r>
            <w:r w:rsidRPr="00165E2F">
              <w:rPr>
                <w:rFonts w:ascii="Amasis MT Pro Light" w:eastAsia="Times New Roman" w:hAnsi="Amasis MT Pro Light" w:cs="Times New Roman"/>
                <w:lang w:eastAsia="x-none"/>
              </w:rPr>
              <w:t>Diesel</w:t>
            </w:r>
            <w:r>
              <w:rPr>
                <w:rFonts w:ascii="Amasis MT Pro Light" w:eastAsia="Times New Roman" w:hAnsi="Amasis MT Pro Light" w:cs="Times New Roman"/>
                <w:lang w:eastAsia="x-none"/>
              </w:rPr>
              <w:t xml:space="preserve"> and </w:t>
            </w:r>
            <w:r w:rsidRPr="00165E2F">
              <w:rPr>
                <w:rFonts w:ascii="Amasis MT Pro Light" w:eastAsia="Times New Roman" w:hAnsi="Amasis MT Pro Light" w:cs="Times New Roman"/>
                <w:lang w:eastAsia="x-none"/>
              </w:rPr>
              <w:t>Petrol</w:t>
            </w:r>
            <w:r>
              <w:rPr>
                <w:rFonts w:ascii="Amasis MT Pro Light" w:eastAsia="Times New Roman" w:hAnsi="Amasis MT Pro Light" w:cs="Times New Roman"/>
                <w:lang w:eastAsia="x-none"/>
              </w:rPr>
              <w:t>)</w:t>
            </w:r>
            <w:r w:rsidRPr="00165E2F">
              <w:rPr>
                <w:rFonts w:ascii="Amasis MT Pro Light" w:eastAsia="Times New Roman" w:hAnsi="Amasis MT Pro Light" w:cs="Times New Roman"/>
                <w:lang w:eastAsia="x-none"/>
              </w:rPr>
              <w:t xml:space="preserve"> for</w:t>
            </w:r>
            <w:r w:rsidRPr="005D44F5">
              <w:rPr>
                <w:rFonts w:ascii="Amasis MT Pro Light" w:eastAsia="Times New Roman" w:hAnsi="Amasis MT Pro Light" w:cs="Times New Roman"/>
                <w:lang w:eastAsia="x-none"/>
              </w:rPr>
              <w:t xml:space="preserve"> AKDN </w:t>
            </w:r>
            <w:r>
              <w:rPr>
                <w:rFonts w:ascii="Amasis MT Pro Light" w:eastAsia="Times New Roman" w:hAnsi="Amasis MT Pro Light" w:cs="Times New Roman"/>
                <w:lang w:eastAsia="x-none"/>
              </w:rPr>
              <w:t>agencies</w:t>
            </w:r>
            <w:r w:rsidRPr="005D44F5">
              <w:rPr>
                <w:rFonts w:ascii="Amasis MT Pro Light" w:eastAsia="Times New Roman" w:hAnsi="Amasis MT Pro Light" w:cs="Times New Roman"/>
                <w:lang w:eastAsia="x-none"/>
              </w:rPr>
              <w:t xml:space="preserve"> (</w:t>
            </w:r>
            <w:r>
              <w:rPr>
                <w:rFonts w:ascii="Amasis MT Pro Light" w:eastAsia="Times New Roman" w:hAnsi="Amasis MT Pro Light" w:cs="Times New Roman"/>
                <w:lang w:eastAsia="x-none"/>
              </w:rPr>
              <w:t xml:space="preserve">e.g. </w:t>
            </w:r>
            <w:r w:rsidRPr="005D44F5">
              <w:rPr>
                <w:rFonts w:ascii="Amasis MT Pro Light" w:eastAsia="Times New Roman" w:hAnsi="Amasis MT Pro Light" w:cs="Times New Roman"/>
                <w:lang w:eastAsia="x-none"/>
              </w:rPr>
              <w:t>AKHS, A</w:t>
            </w:r>
            <w:r>
              <w:rPr>
                <w:rFonts w:ascii="Amasis MT Pro Light" w:eastAsia="Times New Roman" w:hAnsi="Amasis MT Pro Light" w:cs="Times New Roman"/>
                <w:lang w:eastAsia="x-none"/>
              </w:rPr>
              <w:t xml:space="preserve"> </w:t>
            </w:r>
            <w:r w:rsidRPr="005D44F5">
              <w:rPr>
                <w:rFonts w:ascii="Amasis MT Pro Light" w:eastAsia="Times New Roman" w:hAnsi="Amasis MT Pro Light" w:cs="Times New Roman"/>
                <w:lang w:eastAsia="x-none"/>
              </w:rPr>
              <w:t>-</w:t>
            </w:r>
            <w:r>
              <w:rPr>
                <w:rFonts w:ascii="Amasis MT Pro Light" w:eastAsia="Times New Roman" w:hAnsi="Amasis MT Pro Light" w:cs="Times New Roman"/>
                <w:lang w:eastAsia="x-none"/>
              </w:rPr>
              <w:t xml:space="preserve"> </w:t>
            </w:r>
            <w:r w:rsidRPr="005D44F5">
              <w:rPr>
                <w:rFonts w:ascii="Amasis MT Pro Light" w:eastAsia="Times New Roman" w:hAnsi="Amasis MT Pro Light" w:cs="Times New Roman"/>
                <w:lang w:eastAsia="x-none"/>
              </w:rPr>
              <w:t xml:space="preserve">NPO, </w:t>
            </w:r>
            <w:bookmarkStart w:id="2" w:name="_Hlk182907678"/>
            <w:r w:rsidRPr="005D44F5">
              <w:rPr>
                <w:rFonts w:ascii="Amasis MT Pro Light" w:eastAsia="Times New Roman" w:hAnsi="Amasis MT Pro Light" w:cs="Times New Roman"/>
                <w:lang w:eastAsia="x-none"/>
              </w:rPr>
              <w:t>AKF</w:t>
            </w:r>
            <w:r>
              <w:rPr>
                <w:rFonts w:ascii="Amasis MT Pro Light" w:eastAsia="Times New Roman" w:hAnsi="Amasis MT Pro Light" w:cs="Times New Roman"/>
                <w:lang w:eastAsia="x-none"/>
              </w:rPr>
              <w:t>-</w:t>
            </w:r>
            <w:r w:rsidRPr="005D44F5">
              <w:rPr>
                <w:rFonts w:ascii="Amasis MT Pro Light" w:eastAsia="Times New Roman" w:hAnsi="Amasis MT Pro Light" w:cs="Times New Roman"/>
                <w:lang w:eastAsia="x-none"/>
              </w:rPr>
              <w:t>A and FMIC</w:t>
            </w:r>
            <w:bookmarkEnd w:id="2"/>
            <w:r w:rsidRPr="005D44F5">
              <w:rPr>
                <w:rFonts w:ascii="Amasis MT Pro Light" w:eastAsia="Times New Roman" w:hAnsi="Amasis MT Pro Light" w:cs="Times New Roman"/>
                <w:lang w:eastAsia="x-none"/>
              </w:rPr>
              <w:t>)</w:t>
            </w:r>
            <w:r>
              <w:rPr>
                <w:rFonts w:ascii="Amasis MT Pro Light" w:eastAsia="Times New Roman" w:hAnsi="Amasis MT Pro Light" w:cs="Times New Roman"/>
                <w:lang w:eastAsia="x-none"/>
              </w:rPr>
              <w:t>.</w:t>
            </w:r>
            <w:bookmarkEnd w:id="1"/>
          </w:p>
        </w:tc>
      </w:tr>
      <w:tr w:rsidR="0034533D" w:rsidRPr="0034533D" w14:paraId="30B0185D" w14:textId="77777777" w:rsidTr="00190D28">
        <w:trPr>
          <w:trHeight w:val="278"/>
        </w:trPr>
        <w:tc>
          <w:tcPr>
            <w:tcW w:w="2520" w:type="dxa"/>
            <w:vAlign w:val="center"/>
          </w:tcPr>
          <w:p w14:paraId="579C0DCF" w14:textId="30A4B44C"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Deadline for Bids Submission</w:t>
            </w:r>
            <w:r w:rsidR="00105832" w:rsidRPr="00130F1C">
              <w:rPr>
                <w:rFonts w:asciiTheme="majorBidi" w:hAnsiTheme="majorBidi" w:cstheme="majorBidi"/>
                <w:b/>
              </w:rPr>
              <w:t>:</w:t>
            </w:r>
          </w:p>
        </w:tc>
        <w:tc>
          <w:tcPr>
            <w:tcW w:w="7110" w:type="dxa"/>
            <w:vAlign w:val="center"/>
          </w:tcPr>
          <w:p w14:paraId="18CAA1DB" w14:textId="58B2C8B2" w:rsidR="0034533D" w:rsidRPr="00322BBB" w:rsidRDefault="00567D3E" w:rsidP="00E97613">
            <w:pPr>
              <w:rPr>
                <w:rFonts w:ascii="Amasis MT Pro Light" w:eastAsiaTheme="majorEastAsia" w:hAnsi="Amasis MT Pro Light" w:cs="Arial"/>
                <w:bCs/>
                <w:i/>
                <w:iCs/>
                <w:color w:val="404040" w:themeColor="text1" w:themeTint="BF"/>
              </w:rPr>
            </w:pPr>
            <w:r w:rsidRPr="00322BBB">
              <w:rPr>
                <w:rFonts w:ascii="Amasis MT Pro Light" w:hAnsi="Amasis MT Pro Light" w:cs="Arial"/>
                <w:bCs/>
              </w:rPr>
              <w:t xml:space="preserve">Date: </w:t>
            </w:r>
            <w:r w:rsidR="00DA32A2">
              <w:rPr>
                <w:rFonts w:ascii="Amasis MT Pro Light" w:hAnsi="Amasis MT Pro Light" w:cs="Arial"/>
                <w:bCs/>
              </w:rPr>
              <w:t>27</w:t>
            </w:r>
            <w:r w:rsidR="002E709A" w:rsidRPr="00322BBB">
              <w:rPr>
                <w:rFonts w:ascii="Amasis MT Pro Light" w:hAnsi="Amasis MT Pro Light" w:cs="Arial"/>
                <w:bCs/>
              </w:rPr>
              <w:t>-</w:t>
            </w:r>
            <w:r w:rsidR="00DA32A2">
              <w:rPr>
                <w:rFonts w:ascii="Amasis MT Pro Light" w:hAnsi="Amasis MT Pro Light" w:cs="Arial"/>
                <w:bCs/>
              </w:rPr>
              <w:t>Jan</w:t>
            </w:r>
            <w:r w:rsidR="002E709A" w:rsidRPr="00322BBB">
              <w:rPr>
                <w:rFonts w:ascii="Amasis MT Pro Light" w:hAnsi="Amasis MT Pro Light" w:cs="Arial"/>
                <w:bCs/>
              </w:rPr>
              <w:t>-</w:t>
            </w:r>
            <w:r w:rsidR="00E97613" w:rsidRPr="00322BBB">
              <w:rPr>
                <w:rFonts w:ascii="Amasis MT Pro Light" w:hAnsi="Amasis MT Pro Light" w:cs="Arial"/>
                <w:bCs/>
              </w:rPr>
              <w:t>202</w:t>
            </w:r>
            <w:r w:rsidR="00DA32A2">
              <w:rPr>
                <w:rFonts w:ascii="Amasis MT Pro Light" w:hAnsi="Amasis MT Pro Light" w:cs="Arial"/>
                <w:bCs/>
              </w:rPr>
              <w:t>5</w:t>
            </w:r>
            <w:r w:rsidRPr="00322BBB">
              <w:rPr>
                <w:rFonts w:ascii="Amasis MT Pro Light" w:hAnsi="Amasis MT Pro Light" w:cs="Arial"/>
                <w:bCs/>
              </w:rPr>
              <w:t>, Time: 10</w:t>
            </w:r>
            <w:r w:rsidR="00670DF3" w:rsidRPr="00322BBB">
              <w:rPr>
                <w:rFonts w:ascii="Amasis MT Pro Light" w:hAnsi="Amasis MT Pro Light" w:cs="Arial"/>
                <w:bCs/>
              </w:rPr>
              <w:t>:00</w:t>
            </w:r>
            <w:r w:rsidRPr="00322BBB">
              <w:rPr>
                <w:rFonts w:ascii="Amasis MT Pro Light" w:hAnsi="Amasis MT Pro Light" w:cs="Arial"/>
                <w:bCs/>
              </w:rPr>
              <w:t xml:space="preserve"> AM</w:t>
            </w:r>
          </w:p>
        </w:tc>
      </w:tr>
    </w:tbl>
    <w:p w14:paraId="6EA37E66" w14:textId="77777777" w:rsidR="0034533D" w:rsidRDefault="0034533D">
      <w:pPr>
        <w:rPr>
          <w:rFonts w:ascii="Helvetica Neue Light" w:hAnsi="Helvetica Neue Light"/>
        </w:rPr>
      </w:pPr>
    </w:p>
    <w:p w14:paraId="1CD322C1" w14:textId="205D3143" w:rsidR="00E97613" w:rsidRPr="00105832" w:rsidRDefault="00E97613" w:rsidP="00105832">
      <w:pPr>
        <w:rPr>
          <w:rFonts w:ascii="Helvetica Neue Light" w:hAnsi="Helvetica Neue Light"/>
          <w:b/>
          <w:bCs/>
        </w:rPr>
      </w:pPr>
      <w:r w:rsidRPr="002E709A">
        <w:rPr>
          <w:rFonts w:ascii="Helvetica Neue Light" w:hAnsi="Helvetica Neue Light"/>
          <w:b/>
          <w:bCs/>
        </w:rPr>
        <w:t>Background</w:t>
      </w:r>
      <w:r w:rsidR="00322BBB">
        <w:rPr>
          <w:rFonts w:ascii="Helvetica Neue Light" w:hAnsi="Helvetica Neue Light"/>
          <w:b/>
          <w:bCs/>
        </w:rPr>
        <w:t>:</w:t>
      </w:r>
    </w:p>
    <w:p w14:paraId="7F1E66D1" w14:textId="2A7CC618" w:rsidR="008917DF" w:rsidRPr="00130F1C" w:rsidRDefault="008917DF" w:rsidP="00DA32A2">
      <w:pPr>
        <w:spacing w:line="276" w:lineRule="auto"/>
        <w:rPr>
          <w:rFonts w:ascii="Amasis MT Pro Light" w:hAnsi="Amasis MT Pro Light" w:cs="Arial"/>
        </w:rPr>
      </w:pPr>
      <w:r w:rsidRPr="00130F1C">
        <w:rPr>
          <w:rFonts w:ascii="Amasis MT Pro Light" w:hAnsi="Amasis MT Pro Light" w:cs="Arial"/>
        </w:rPr>
        <w:t xml:space="preserve">The </w:t>
      </w:r>
      <w:r w:rsidR="00E97613" w:rsidRPr="00130F1C">
        <w:rPr>
          <w:rFonts w:ascii="Amasis MT Pro Light" w:hAnsi="Amasis MT Pro Light" w:cs="Arial"/>
        </w:rPr>
        <w:t>Aga Khan Health Services – Afghanistan</w:t>
      </w:r>
      <w:r w:rsidRPr="00130F1C">
        <w:rPr>
          <w:rFonts w:ascii="Amasis MT Pro Light" w:hAnsi="Amasis MT Pro Light" w:cs="Arial"/>
        </w:rPr>
        <w:t xml:space="preserve"> herein referred to as “</w:t>
      </w:r>
      <w:r w:rsidR="00E97613" w:rsidRPr="00130F1C">
        <w:rPr>
          <w:rFonts w:ascii="Amasis MT Pro Light" w:hAnsi="Amasis MT Pro Light" w:cs="Arial"/>
        </w:rPr>
        <w:t>Client</w:t>
      </w:r>
      <w:r w:rsidRPr="00130F1C">
        <w:rPr>
          <w:rFonts w:ascii="Amasis MT Pro Light" w:hAnsi="Amasis MT Pro Light" w:cs="Arial"/>
        </w:rPr>
        <w:t xml:space="preserve">” invites sealed bids from eligible bidders for </w:t>
      </w:r>
      <w:r w:rsidR="009243D6" w:rsidRPr="00130F1C">
        <w:rPr>
          <w:rFonts w:ascii="Amasis MT Pro Light" w:hAnsi="Amasis MT Pro Light" w:cs="Arial"/>
        </w:rPr>
        <w:t>the procurement of</w:t>
      </w:r>
      <w:r w:rsidRPr="00130F1C">
        <w:rPr>
          <w:rFonts w:ascii="Amasis MT Pro Light" w:hAnsi="Amasis MT Pro Light" w:cs="Arial"/>
        </w:rPr>
        <w:t xml:space="preserve"> </w:t>
      </w:r>
      <w:r w:rsidR="00DA32A2">
        <w:rPr>
          <w:rFonts w:ascii="Amasis MT Pro Light" w:eastAsia="Times New Roman" w:hAnsi="Amasis MT Pro Light" w:cs="Times New Roman"/>
          <w:lang w:eastAsia="x-none"/>
        </w:rPr>
        <w:t>Procurement of f</w:t>
      </w:r>
      <w:r w:rsidR="00DA32A2" w:rsidRPr="005D44F5">
        <w:rPr>
          <w:rFonts w:ascii="Amasis MT Pro Light" w:eastAsia="Times New Roman" w:hAnsi="Amasis MT Pro Light" w:cs="Times New Roman"/>
          <w:lang w:eastAsia="x-none"/>
        </w:rPr>
        <w:t xml:space="preserve">uel </w:t>
      </w:r>
      <w:r w:rsidR="00DA32A2">
        <w:rPr>
          <w:rFonts w:ascii="Amasis MT Pro Light" w:eastAsia="Times New Roman" w:hAnsi="Amasis MT Pro Light" w:cs="Times New Roman"/>
          <w:lang w:eastAsia="x-none"/>
        </w:rPr>
        <w:t>(</w:t>
      </w:r>
      <w:r w:rsidR="00DA32A2" w:rsidRPr="00165E2F">
        <w:rPr>
          <w:rFonts w:ascii="Amasis MT Pro Light" w:eastAsia="Times New Roman" w:hAnsi="Amasis MT Pro Light" w:cs="Times New Roman"/>
          <w:lang w:eastAsia="x-none"/>
        </w:rPr>
        <w:t>Diesel</w:t>
      </w:r>
      <w:r w:rsidR="00DA32A2">
        <w:rPr>
          <w:rFonts w:ascii="Amasis MT Pro Light" w:eastAsia="Times New Roman" w:hAnsi="Amasis MT Pro Light" w:cs="Times New Roman"/>
          <w:lang w:eastAsia="x-none"/>
        </w:rPr>
        <w:t xml:space="preserve"> and </w:t>
      </w:r>
      <w:r w:rsidR="00DA32A2" w:rsidRPr="00165E2F">
        <w:rPr>
          <w:rFonts w:ascii="Amasis MT Pro Light" w:eastAsia="Times New Roman" w:hAnsi="Amasis MT Pro Light" w:cs="Times New Roman"/>
          <w:lang w:eastAsia="x-none"/>
        </w:rPr>
        <w:t>Petrol</w:t>
      </w:r>
      <w:r w:rsidR="00DA32A2">
        <w:rPr>
          <w:rFonts w:ascii="Amasis MT Pro Light" w:eastAsia="Times New Roman" w:hAnsi="Amasis MT Pro Light" w:cs="Times New Roman"/>
          <w:lang w:eastAsia="x-none"/>
        </w:rPr>
        <w:t>)</w:t>
      </w:r>
      <w:r w:rsidR="00DA32A2" w:rsidRPr="00165E2F">
        <w:rPr>
          <w:rFonts w:ascii="Amasis MT Pro Light" w:eastAsia="Times New Roman" w:hAnsi="Amasis MT Pro Light" w:cs="Times New Roman"/>
          <w:lang w:eastAsia="x-none"/>
        </w:rPr>
        <w:t xml:space="preserve"> for</w:t>
      </w:r>
      <w:r w:rsidR="00DA32A2" w:rsidRPr="005D44F5">
        <w:rPr>
          <w:rFonts w:ascii="Amasis MT Pro Light" w:eastAsia="Times New Roman" w:hAnsi="Amasis MT Pro Light" w:cs="Times New Roman"/>
          <w:lang w:eastAsia="x-none"/>
        </w:rPr>
        <w:t xml:space="preserve"> AKDN </w:t>
      </w:r>
      <w:r w:rsidR="00DA32A2">
        <w:rPr>
          <w:rFonts w:ascii="Amasis MT Pro Light" w:eastAsia="Times New Roman" w:hAnsi="Amasis MT Pro Light" w:cs="Times New Roman"/>
          <w:lang w:eastAsia="x-none"/>
        </w:rPr>
        <w:t>agencies</w:t>
      </w:r>
      <w:r w:rsidR="00DA32A2" w:rsidRPr="005D44F5">
        <w:rPr>
          <w:rFonts w:ascii="Amasis MT Pro Light" w:eastAsia="Times New Roman" w:hAnsi="Amasis MT Pro Light" w:cs="Times New Roman"/>
          <w:lang w:eastAsia="x-none"/>
        </w:rPr>
        <w:t xml:space="preserve"> (</w:t>
      </w:r>
      <w:r w:rsidR="00DA32A2">
        <w:rPr>
          <w:rFonts w:ascii="Amasis MT Pro Light" w:eastAsia="Times New Roman" w:hAnsi="Amasis MT Pro Light" w:cs="Times New Roman"/>
          <w:lang w:eastAsia="x-none"/>
        </w:rPr>
        <w:t xml:space="preserve">e.g. </w:t>
      </w:r>
      <w:r w:rsidR="00DA32A2" w:rsidRPr="005D44F5">
        <w:rPr>
          <w:rFonts w:ascii="Amasis MT Pro Light" w:eastAsia="Times New Roman" w:hAnsi="Amasis MT Pro Light" w:cs="Times New Roman"/>
          <w:lang w:eastAsia="x-none"/>
        </w:rPr>
        <w:t>AKHS, A</w:t>
      </w:r>
      <w:r w:rsidR="00DA32A2">
        <w:rPr>
          <w:rFonts w:ascii="Amasis MT Pro Light" w:eastAsia="Times New Roman" w:hAnsi="Amasis MT Pro Light" w:cs="Times New Roman"/>
          <w:lang w:eastAsia="x-none"/>
        </w:rPr>
        <w:t xml:space="preserve"> </w:t>
      </w:r>
      <w:r w:rsidR="00DA32A2" w:rsidRPr="005D44F5">
        <w:rPr>
          <w:rFonts w:ascii="Amasis MT Pro Light" w:eastAsia="Times New Roman" w:hAnsi="Amasis MT Pro Light" w:cs="Times New Roman"/>
          <w:lang w:eastAsia="x-none"/>
        </w:rPr>
        <w:t>-</w:t>
      </w:r>
      <w:r w:rsidR="00DA32A2">
        <w:rPr>
          <w:rFonts w:ascii="Amasis MT Pro Light" w:eastAsia="Times New Roman" w:hAnsi="Amasis MT Pro Light" w:cs="Times New Roman"/>
          <w:lang w:eastAsia="x-none"/>
        </w:rPr>
        <w:t xml:space="preserve"> </w:t>
      </w:r>
      <w:r w:rsidR="00DA32A2" w:rsidRPr="005D44F5">
        <w:rPr>
          <w:rFonts w:ascii="Amasis MT Pro Light" w:eastAsia="Times New Roman" w:hAnsi="Amasis MT Pro Light" w:cs="Times New Roman"/>
          <w:lang w:eastAsia="x-none"/>
        </w:rPr>
        <w:t>NPO, AKF</w:t>
      </w:r>
      <w:r w:rsidR="00DA32A2">
        <w:rPr>
          <w:rFonts w:ascii="Amasis MT Pro Light" w:eastAsia="Times New Roman" w:hAnsi="Amasis MT Pro Light" w:cs="Times New Roman"/>
          <w:lang w:eastAsia="x-none"/>
        </w:rPr>
        <w:t>-</w:t>
      </w:r>
      <w:r w:rsidR="00DA32A2" w:rsidRPr="005D44F5">
        <w:rPr>
          <w:rFonts w:ascii="Amasis MT Pro Light" w:eastAsia="Times New Roman" w:hAnsi="Amasis MT Pro Light" w:cs="Times New Roman"/>
          <w:lang w:eastAsia="x-none"/>
        </w:rPr>
        <w:t>A and FMIC)</w:t>
      </w:r>
      <w:r w:rsidR="00DA32A2">
        <w:rPr>
          <w:rFonts w:ascii="Amasis MT Pro Light" w:eastAsia="Times New Roman" w:hAnsi="Amasis MT Pro Light" w:cs="Times New Roman"/>
          <w:lang w:eastAsia="x-none"/>
        </w:rPr>
        <w:t>.</w:t>
      </w:r>
    </w:p>
    <w:p w14:paraId="66365E52" w14:textId="50A03F19" w:rsidR="00C73B6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National Competitive Bidding (</w:t>
      </w:r>
      <w:r w:rsidRPr="00130F1C">
        <w:rPr>
          <w:rFonts w:ascii="Amasis MT Pro Light" w:hAnsi="Amasis MT Pro Light" w:cs="Arial"/>
          <w:b/>
          <w:bCs/>
        </w:rPr>
        <w:t>NCB</w:t>
      </w:r>
      <w:r w:rsidRPr="00130F1C">
        <w:rPr>
          <w:rFonts w:ascii="Amasis MT Pro Light" w:hAnsi="Amasis MT Pro Light" w:cs="Arial"/>
        </w:rPr>
        <w:t xml:space="preserve">) will be conducted and is open to all Bidders </w:t>
      </w:r>
      <w:r w:rsidR="006C6014" w:rsidRPr="00130F1C">
        <w:rPr>
          <w:rFonts w:ascii="Amasis MT Pro Light" w:hAnsi="Amasis MT Pro Light" w:cs="Arial"/>
        </w:rPr>
        <w:t xml:space="preserve">who </w:t>
      </w:r>
      <w:r w:rsidR="00D13E80">
        <w:rPr>
          <w:rFonts w:ascii="Amasis MT Pro Light" w:hAnsi="Amasis MT Pro Light" w:cs="Arial"/>
        </w:rPr>
        <w:t>meet the qualification,</w:t>
      </w:r>
      <w:r w:rsidR="00CC1A06" w:rsidRPr="00130F1C">
        <w:rPr>
          <w:rFonts w:ascii="Amasis MT Pro Light" w:hAnsi="Amasis MT Pro Light" w:cs="Arial"/>
        </w:rPr>
        <w:t xml:space="preserve"> specifications, delivery requirements, and other terms and conditions are reflected in the Bidding Documents.</w:t>
      </w:r>
    </w:p>
    <w:p w14:paraId="51EF05B1" w14:textId="3237989B" w:rsidR="00BE2AF4" w:rsidRDefault="00D53902" w:rsidP="00105832">
      <w:pPr>
        <w:pStyle w:val="ListParagraph"/>
        <w:ind w:left="0"/>
        <w:jc w:val="both"/>
        <w:rPr>
          <w:rFonts w:ascii="Amasis MT Pro Light" w:hAnsi="Amasis MT Pro Light" w:cs="Arial"/>
        </w:rPr>
      </w:pPr>
      <w:r w:rsidRPr="00130F1C">
        <w:rPr>
          <w:rFonts w:ascii="Amasis MT Pro Light" w:hAnsi="Amasis MT Pro Light" w:cs="Arial"/>
        </w:rPr>
        <w:t>E</w:t>
      </w:r>
      <w:r w:rsidR="00C73B69" w:rsidRPr="00130F1C">
        <w:rPr>
          <w:rFonts w:ascii="Amasis MT Pro Light" w:hAnsi="Amasis MT Pro Light" w:cs="Arial"/>
        </w:rPr>
        <w:t>ligible bidders with the following key qualifications should participate in this bidding:</w:t>
      </w:r>
    </w:p>
    <w:p w14:paraId="2E77F3DB" w14:textId="77777777" w:rsidR="00105832" w:rsidRPr="00105832" w:rsidRDefault="00105832" w:rsidP="00105832">
      <w:pPr>
        <w:pStyle w:val="ListParagraph"/>
        <w:ind w:left="0"/>
        <w:jc w:val="both"/>
        <w:rPr>
          <w:rFonts w:ascii="Amasis MT Pro Light" w:hAnsi="Amasis MT Pro Light" w:cs="Arial"/>
        </w:rPr>
      </w:pPr>
    </w:p>
    <w:p w14:paraId="493063F6" w14:textId="6C06595F" w:rsidR="00BE2AF4" w:rsidRPr="00130F1C" w:rsidRDefault="00BE2AF4" w:rsidP="0065690B">
      <w:pPr>
        <w:pStyle w:val="ListParagraph"/>
        <w:ind w:left="0"/>
        <w:jc w:val="both"/>
        <w:rPr>
          <w:rFonts w:asciiTheme="majorBidi" w:hAnsiTheme="majorBidi" w:cstheme="majorBidi"/>
          <w:b/>
          <w:bCs/>
        </w:rPr>
      </w:pPr>
      <w:r w:rsidRPr="00130F1C">
        <w:rPr>
          <w:rFonts w:asciiTheme="majorBidi" w:hAnsiTheme="majorBidi" w:cstheme="majorBidi"/>
          <w:b/>
          <w:bCs/>
        </w:rPr>
        <w:t>Qualification</w:t>
      </w:r>
      <w:r w:rsidR="0065690B" w:rsidRPr="00130F1C">
        <w:rPr>
          <w:rFonts w:asciiTheme="majorBidi" w:hAnsiTheme="majorBidi" w:cstheme="majorBidi"/>
          <w:b/>
          <w:bCs/>
        </w:rPr>
        <w:t xml:space="preserve"> Criteria:</w:t>
      </w:r>
    </w:p>
    <w:tbl>
      <w:tblPr>
        <w:tblpPr w:leftFromText="180" w:rightFromText="180" w:vertAnchor="text" w:tblpX="13" w:tblpY="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3780"/>
        <w:gridCol w:w="5220"/>
      </w:tblGrid>
      <w:tr w:rsidR="0090147A" w:rsidRPr="00130F1C" w14:paraId="30B4F996" w14:textId="77777777" w:rsidTr="00BF2BB9">
        <w:trPr>
          <w:trHeight w:val="261"/>
          <w:tblHeader/>
        </w:trPr>
        <w:tc>
          <w:tcPr>
            <w:tcW w:w="625" w:type="dxa"/>
            <w:shd w:val="clear" w:color="auto" w:fill="EAF1DD" w:themeFill="accent3" w:themeFillTint="33"/>
            <w:vAlign w:val="center"/>
          </w:tcPr>
          <w:p w14:paraId="6077A1FE" w14:textId="77777777" w:rsidR="00BE2AF4" w:rsidRPr="00130F1C" w:rsidRDefault="00BE2AF4" w:rsidP="0065690B">
            <w:pPr>
              <w:jc w:val="center"/>
              <w:rPr>
                <w:rFonts w:asciiTheme="majorBidi" w:hAnsiTheme="majorBidi" w:cstheme="majorBidi"/>
                <w:b/>
              </w:rPr>
            </w:pPr>
            <w:r w:rsidRPr="00130F1C">
              <w:rPr>
                <w:rFonts w:asciiTheme="majorBidi" w:hAnsiTheme="majorBidi" w:cstheme="majorBidi"/>
                <w:b/>
              </w:rPr>
              <w:t>No.</w:t>
            </w:r>
          </w:p>
        </w:tc>
        <w:tc>
          <w:tcPr>
            <w:tcW w:w="3780" w:type="dxa"/>
            <w:shd w:val="clear" w:color="auto" w:fill="EAF1DD" w:themeFill="accent3" w:themeFillTint="33"/>
            <w:vAlign w:val="center"/>
          </w:tcPr>
          <w:p w14:paraId="688E6E01" w14:textId="24C5DCEB" w:rsidR="00BE2AF4" w:rsidRPr="00130F1C" w:rsidRDefault="0090147A" w:rsidP="0065690B">
            <w:pPr>
              <w:jc w:val="center"/>
              <w:rPr>
                <w:rFonts w:asciiTheme="majorBidi" w:hAnsiTheme="majorBidi" w:cstheme="majorBidi"/>
                <w:b/>
              </w:rPr>
            </w:pPr>
            <w:r w:rsidRPr="00130F1C">
              <w:rPr>
                <w:rFonts w:asciiTheme="majorBidi" w:hAnsiTheme="majorBidi" w:cstheme="majorBidi"/>
                <w:b/>
              </w:rPr>
              <w:t>Item</w:t>
            </w:r>
          </w:p>
        </w:tc>
        <w:tc>
          <w:tcPr>
            <w:tcW w:w="5220" w:type="dxa"/>
            <w:shd w:val="clear" w:color="auto" w:fill="EAF1DD" w:themeFill="accent3" w:themeFillTint="33"/>
            <w:vAlign w:val="center"/>
          </w:tcPr>
          <w:p w14:paraId="3B1F094F" w14:textId="3EFE1DE8" w:rsidR="00BE2AF4" w:rsidRPr="00130F1C" w:rsidRDefault="00BE2AF4" w:rsidP="0065690B">
            <w:pPr>
              <w:jc w:val="center"/>
              <w:rPr>
                <w:rFonts w:asciiTheme="majorBidi" w:hAnsiTheme="majorBidi" w:cstheme="majorBidi"/>
                <w:b/>
              </w:rPr>
            </w:pPr>
            <w:r w:rsidRPr="00130F1C">
              <w:rPr>
                <w:rFonts w:asciiTheme="majorBidi" w:hAnsiTheme="majorBidi" w:cstheme="majorBidi"/>
                <w:b/>
              </w:rPr>
              <w:t xml:space="preserve">Criteria </w:t>
            </w:r>
          </w:p>
        </w:tc>
      </w:tr>
      <w:tr w:rsidR="00DA32A2" w:rsidRPr="00EC151A" w14:paraId="1DCBAA08" w14:textId="77777777" w:rsidTr="00BA6298">
        <w:trPr>
          <w:trHeight w:val="258"/>
        </w:trPr>
        <w:tc>
          <w:tcPr>
            <w:tcW w:w="625" w:type="dxa"/>
            <w:vAlign w:val="center"/>
          </w:tcPr>
          <w:p w14:paraId="597697EF" w14:textId="1F17D10D" w:rsidR="00DA32A2" w:rsidRPr="008F263C" w:rsidRDefault="00DA32A2" w:rsidP="00DA32A2">
            <w:pPr>
              <w:ind w:left="-53"/>
              <w:rPr>
                <w:rFonts w:ascii="Arial" w:hAnsi="Arial" w:cs="Arial"/>
                <w:sz w:val="18"/>
                <w:szCs w:val="18"/>
              </w:rPr>
            </w:pPr>
            <w:r w:rsidRPr="008F263C">
              <w:rPr>
                <w:rFonts w:ascii="Arial" w:hAnsi="Arial" w:cs="Arial"/>
                <w:sz w:val="18"/>
                <w:szCs w:val="18"/>
              </w:rPr>
              <w:t>1</w:t>
            </w:r>
          </w:p>
        </w:tc>
        <w:tc>
          <w:tcPr>
            <w:tcW w:w="3780" w:type="dxa"/>
          </w:tcPr>
          <w:p w14:paraId="35AF9446" w14:textId="63406F64" w:rsidR="00DA32A2" w:rsidRPr="00862110" w:rsidRDefault="00DA32A2" w:rsidP="00DA32A2">
            <w:pPr>
              <w:ind w:left="-53"/>
              <w:rPr>
                <w:rFonts w:ascii="Amasis MT Pro Light" w:hAnsi="Amasis MT Pro Light" w:cs="Arial"/>
              </w:rPr>
            </w:pPr>
            <w:r w:rsidRPr="005752D6">
              <w:rPr>
                <w:rFonts w:ascii="Amasis MT Pro Light" w:eastAsia="Times New Roman" w:hAnsi="Amasis MT Pro Light" w:cs="Times New Roman"/>
                <w:b/>
                <w:bCs/>
                <w:lang w:eastAsia="x-none"/>
              </w:rPr>
              <w:t xml:space="preserve">Financial capability </w:t>
            </w:r>
            <w:r>
              <w:rPr>
                <w:rFonts w:ascii="Amasis MT Pro Light" w:eastAsia="Times New Roman" w:hAnsi="Amasis MT Pro Light" w:cs="Times New Roman"/>
                <w:b/>
                <w:bCs/>
                <w:lang w:eastAsia="x-none"/>
              </w:rPr>
              <w:t xml:space="preserve">(i.e. </w:t>
            </w:r>
            <w:r w:rsidRPr="005752D6">
              <w:rPr>
                <w:rFonts w:ascii="Amasis MT Pro Light" w:eastAsia="Times New Roman" w:hAnsi="Amasis MT Pro Light" w:cs="Times New Roman"/>
                <w:b/>
                <w:bCs/>
                <w:lang w:eastAsia="x-none"/>
              </w:rPr>
              <w:t xml:space="preserve">bank statement or submission of a </w:t>
            </w:r>
            <w:r>
              <w:rPr>
                <w:rFonts w:ascii="Amasis MT Pro Light" w:eastAsia="Times New Roman" w:hAnsi="Amasis MT Pro Light" w:cs="Times New Roman"/>
                <w:b/>
                <w:bCs/>
                <w:lang w:eastAsia="x-none"/>
              </w:rPr>
              <w:t xml:space="preserve">letter of </w:t>
            </w:r>
            <w:r w:rsidRPr="005752D6">
              <w:rPr>
                <w:rFonts w:ascii="Amasis MT Pro Light" w:eastAsia="Times New Roman" w:hAnsi="Amasis MT Pro Light" w:cs="Times New Roman"/>
                <w:b/>
                <w:bCs/>
                <w:lang w:eastAsia="x-none"/>
              </w:rPr>
              <w:t>line of credit</w:t>
            </w:r>
            <w:r>
              <w:rPr>
                <w:rFonts w:ascii="Amasis MT Pro Light" w:eastAsia="Times New Roman" w:hAnsi="Amasis MT Pro Light" w:cs="Times New Roman"/>
                <w:b/>
                <w:bCs/>
                <w:lang w:eastAsia="x-none"/>
              </w:rPr>
              <w:t>)</w:t>
            </w:r>
          </w:p>
        </w:tc>
        <w:tc>
          <w:tcPr>
            <w:tcW w:w="5220" w:type="dxa"/>
          </w:tcPr>
          <w:p w14:paraId="6B3B31B7" w14:textId="77777777" w:rsidR="00DA32A2" w:rsidRPr="00105D5F" w:rsidRDefault="00DA32A2" w:rsidP="00DA32A2">
            <w:pPr>
              <w:spacing w:after="200"/>
              <w:jc w:val="both"/>
              <w:rPr>
                <w:rFonts w:ascii="Amasis MT Pro Light" w:eastAsia="Times New Roman" w:hAnsi="Amasis MT Pro Light" w:cs="Times New Roman"/>
                <w:b/>
                <w:bCs/>
                <w:u w:val="single"/>
                <w:lang w:eastAsia="x-none"/>
              </w:rPr>
            </w:pPr>
            <w:r w:rsidRPr="00105D5F">
              <w:rPr>
                <w:rFonts w:ascii="Amasis MT Pro Light" w:eastAsia="Times New Roman" w:hAnsi="Amasis MT Pro Light" w:cs="Times New Roman"/>
                <w:b/>
                <w:bCs/>
                <w:u w:val="single"/>
                <w:lang w:eastAsia="x-none"/>
              </w:rPr>
              <w:t>Qualifications criteria:</w:t>
            </w:r>
          </w:p>
          <w:p w14:paraId="2BD82336" w14:textId="58EF2C7F" w:rsidR="00DA32A2" w:rsidRPr="00130F1C" w:rsidRDefault="00DA32A2" w:rsidP="00DA32A2">
            <w:pPr>
              <w:ind w:left="-53"/>
              <w:rPr>
                <w:rFonts w:ascii="Amasis MT Pro Light" w:hAnsi="Amasis MT Pro Light" w:cs="Arial"/>
              </w:rPr>
            </w:pPr>
            <w:r w:rsidRPr="00325146">
              <w:rPr>
                <w:rFonts w:ascii="Amasis MT Pro Light" w:eastAsia="Times New Roman" w:hAnsi="Amasis MT Pro Light" w:cs="Times New Roman"/>
                <w:lang w:eastAsia="x-none"/>
              </w:rPr>
              <w:t xml:space="preserve">-Bank statement/unconditional line of credit, not be less than </w:t>
            </w:r>
            <w:r w:rsidRPr="00AB5436">
              <w:rPr>
                <w:rFonts w:ascii="Amasis MT Pro Light" w:eastAsia="Times New Roman" w:hAnsi="Amasis MT Pro Light" w:cs="Times New Roman"/>
                <w:lang w:eastAsia="x-none"/>
              </w:rPr>
              <w:t>AFN</w:t>
            </w:r>
            <w:r w:rsidRPr="004B3853">
              <w:rPr>
                <w:rFonts w:ascii="Amasis MT Pro Light" w:eastAsia="Times New Roman" w:hAnsi="Amasis MT Pro Light" w:cs="Times New Roman"/>
                <w:lang w:eastAsia="x-none"/>
              </w:rPr>
              <w:t xml:space="preserve"> 8,518,0</w:t>
            </w:r>
            <w:r>
              <w:rPr>
                <w:rFonts w:ascii="Amasis MT Pro Light" w:eastAsia="Times New Roman" w:hAnsi="Amasis MT Pro Light" w:cs="Times New Roman"/>
                <w:lang w:eastAsia="x-none"/>
              </w:rPr>
              <w:t>0</w:t>
            </w:r>
            <w:r w:rsidRPr="004B3853">
              <w:rPr>
                <w:rFonts w:ascii="Amasis MT Pro Light" w:eastAsia="Times New Roman" w:hAnsi="Amasis MT Pro Light" w:cs="Times New Roman"/>
                <w:lang w:eastAsia="x-none"/>
              </w:rPr>
              <w:t xml:space="preserve">0.00 </w:t>
            </w:r>
            <w:r w:rsidRPr="00325146">
              <w:rPr>
                <w:rFonts w:ascii="Amasis MT Pro Light" w:eastAsia="Times New Roman" w:hAnsi="Amasis MT Pro Light" w:cs="Times New Roman"/>
                <w:lang w:eastAsia="x-none"/>
              </w:rPr>
              <w:t>or equivalent in USD.</w:t>
            </w:r>
          </w:p>
        </w:tc>
      </w:tr>
      <w:tr w:rsidR="00DA32A2" w:rsidRPr="00EC151A" w14:paraId="4D3FD77B" w14:textId="77777777" w:rsidTr="00BF2BB9">
        <w:trPr>
          <w:trHeight w:val="1297"/>
        </w:trPr>
        <w:tc>
          <w:tcPr>
            <w:tcW w:w="625" w:type="dxa"/>
            <w:vAlign w:val="center"/>
          </w:tcPr>
          <w:p w14:paraId="6E299988" w14:textId="7497FBE7" w:rsidR="00DA32A2" w:rsidRPr="008F263C" w:rsidRDefault="00DA32A2" w:rsidP="00DA32A2">
            <w:pPr>
              <w:ind w:left="-53"/>
              <w:rPr>
                <w:rFonts w:ascii="Arial" w:hAnsi="Arial" w:cs="Arial"/>
                <w:sz w:val="18"/>
                <w:szCs w:val="18"/>
              </w:rPr>
            </w:pPr>
            <w:r>
              <w:rPr>
                <w:rFonts w:ascii="Arial" w:hAnsi="Arial" w:cs="Arial"/>
                <w:sz w:val="18"/>
                <w:szCs w:val="18"/>
              </w:rPr>
              <w:t>2</w:t>
            </w:r>
          </w:p>
        </w:tc>
        <w:tc>
          <w:tcPr>
            <w:tcW w:w="3780" w:type="dxa"/>
          </w:tcPr>
          <w:p w14:paraId="4CF3F7CF" w14:textId="6B6A1D63" w:rsidR="00DA32A2" w:rsidRPr="00862110" w:rsidRDefault="00DA32A2" w:rsidP="00DA32A2">
            <w:pPr>
              <w:pStyle w:val="ListParagraph"/>
              <w:ind w:left="-53"/>
              <w:rPr>
                <w:rFonts w:ascii="Amasis MT Pro Light" w:hAnsi="Amasis MT Pro Light" w:cs="Arial"/>
              </w:rPr>
            </w:pPr>
            <w:r w:rsidRPr="005752D6">
              <w:rPr>
                <w:rFonts w:ascii="Amasis MT Pro Light" w:eastAsia="Times New Roman" w:hAnsi="Amasis MT Pro Light" w:cs="Times New Roman"/>
                <w:b/>
                <w:bCs/>
                <w:lang w:eastAsia="x-none"/>
              </w:rPr>
              <w:t>Similar Experience</w:t>
            </w:r>
          </w:p>
        </w:tc>
        <w:tc>
          <w:tcPr>
            <w:tcW w:w="5220" w:type="dxa"/>
          </w:tcPr>
          <w:p w14:paraId="60F65A38" w14:textId="77777777" w:rsidR="00DA32A2" w:rsidRPr="00325146" w:rsidRDefault="00DA32A2" w:rsidP="00DA32A2">
            <w:pPr>
              <w:spacing w:after="200"/>
              <w:jc w:val="both"/>
              <w:rPr>
                <w:rFonts w:ascii="Amasis MT Pro Light" w:eastAsia="Times New Roman" w:hAnsi="Amasis MT Pro Light" w:cs="Times New Roman"/>
                <w:b/>
                <w:bCs/>
                <w:u w:val="single"/>
                <w:lang w:eastAsia="x-none"/>
              </w:rPr>
            </w:pPr>
            <w:r w:rsidRPr="00325146">
              <w:rPr>
                <w:rFonts w:ascii="Amasis MT Pro Light" w:eastAsia="Times New Roman" w:hAnsi="Amasis MT Pro Light" w:cs="Times New Roman"/>
                <w:b/>
                <w:bCs/>
                <w:u w:val="single"/>
                <w:lang w:eastAsia="x-none"/>
              </w:rPr>
              <w:t xml:space="preserve">Qualifications criteria: </w:t>
            </w:r>
          </w:p>
          <w:p w14:paraId="46768E59" w14:textId="65F00EE7" w:rsidR="00DA32A2" w:rsidRPr="00862110" w:rsidRDefault="00DA32A2" w:rsidP="00DA32A2">
            <w:pPr>
              <w:pStyle w:val="ListParagraph"/>
              <w:ind w:left="-53"/>
              <w:rPr>
                <w:rFonts w:ascii="Amasis MT Pro Light" w:hAnsi="Amasis MT Pro Light" w:cs="Arial"/>
              </w:rPr>
            </w:pPr>
            <w:r>
              <w:rPr>
                <w:rFonts w:ascii="Amasis MT Pro Light" w:eastAsia="Times New Roman" w:hAnsi="Amasis MT Pro Light" w:cs="Times New Roman"/>
                <w:lang w:eastAsia="x-none"/>
              </w:rPr>
              <w:t xml:space="preserve">One </w:t>
            </w:r>
            <w:r w:rsidRPr="00105D5F">
              <w:rPr>
                <w:rFonts w:ascii="Amasis MT Pro Light" w:eastAsia="Times New Roman" w:hAnsi="Amasis MT Pro Light" w:cs="Times New Roman"/>
                <w:lang w:eastAsia="x-none"/>
              </w:rPr>
              <w:t xml:space="preserve">Similar contract </w:t>
            </w:r>
            <w:r>
              <w:rPr>
                <w:rFonts w:ascii="Amasis MT Pro Light" w:eastAsia="Times New Roman" w:hAnsi="Amasis MT Pro Light" w:cs="Times New Roman"/>
                <w:lang w:eastAsia="x-none"/>
              </w:rPr>
              <w:t xml:space="preserve">in the last five years with the amount </w:t>
            </w:r>
            <w:r w:rsidRPr="00AB5436">
              <w:rPr>
                <w:rFonts w:ascii="Amasis MT Pro Light" w:eastAsia="Times New Roman" w:hAnsi="Amasis MT Pro Light" w:cs="Times New Roman"/>
                <w:lang w:eastAsia="x-none"/>
              </w:rPr>
              <w:t xml:space="preserve">of AFN </w:t>
            </w:r>
            <w:r w:rsidRPr="004B3853">
              <w:rPr>
                <w:rFonts w:ascii="Amasis MT Pro Light" w:eastAsia="Times New Roman" w:hAnsi="Amasis MT Pro Light" w:cs="Times New Roman"/>
                <w:lang w:eastAsia="x-none"/>
              </w:rPr>
              <w:t>20,44</w:t>
            </w:r>
            <w:r>
              <w:rPr>
                <w:rFonts w:ascii="Amasis MT Pro Light" w:eastAsia="Times New Roman" w:hAnsi="Amasis MT Pro Light" w:cs="Times New Roman"/>
                <w:lang w:eastAsia="x-none"/>
              </w:rPr>
              <w:t>4</w:t>
            </w:r>
            <w:r w:rsidRPr="004B3853">
              <w:rPr>
                <w:rFonts w:ascii="Amasis MT Pro Light" w:eastAsia="Times New Roman" w:hAnsi="Amasis MT Pro Light" w:cs="Times New Roman"/>
                <w:lang w:eastAsia="x-none"/>
              </w:rPr>
              <w:t>,</w:t>
            </w:r>
            <w:r>
              <w:rPr>
                <w:rFonts w:ascii="Amasis MT Pro Light" w:eastAsia="Times New Roman" w:hAnsi="Amasis MT Pro Light" w:cs="Times New Roman"/>
                <w:lang w:eastAsia="x-none"/>
              </w:rPr>
              <w:t>000</w:t>
            </w:r>
            <w:r w:rsidRPr="004B3853">
              <w:rPr>
                <w:rFonts w:ascii="Amasis MT Pro Light" w:eastAsia="Times New Roman" w:hAnsi="Amasis MT Pro Light" w:cs="Times New Roman"/>
                <w:lang w:eastAsia="x-none"/>
              </w:rPr>
              <w:t xml:space="preserve">.00 </w:t>
            </w:r>
            <w:r w:rsidRPr="00AB5436">
              <w:rPr>
                <w:rFonts w:ascii="Amasis MT Pro Light" w:eastAsia="Times New Roman" w:hAnsi="Amasis MT Pro Light" w:cs="Times New Roman"/>
                <w:lang w:eastAsia="x-none"/>
              </w:rPr>
              <w:t>or equivalent in USD. Or two similar contracts with the total amount of 3</w:t>
            </w:r>
            <w:r>
              <w:rPr>
                <w:rFonts w:ascii="Amasis MT Pro Light" w:eastAsia="Times New Roman" w:hAnsi="Amasis MT Pro Light" w:cs="Times New Roman"/>
                <w:lang w:eastAsia="x-none"/>
              </w:rPr>
              <w:t>4</w:t>
            </w:r>
            <w:r w:rsidRPr="00AB5436">
              <w:rPr>
                <w:rFonts w:ascii="Amasis MT Pro Light" w:eastAsia="Times New Roman" w:hAnsi="Amasis MT Pro Light" w:cs="Times New Roman"/>
                <w:lang w:eastAsia="x-none"/>
              </w:rPr>
              <w:t>,</w:t>
            </w:r>
            <w:r>
              <w:rPr>
                <w:rFonts w:ascii="Amasis MT Pro Light" w:eastAsia="Times New Roman" w:hAnsi="Amasis MT Pro Light" w:cs="Times New Roman"/>
                <w:lang w:eastAsia="x-none"/>
              </w:rPr>
              <w:t>0</w:t>
            </w:r>
            <w:r w:rsidRPr="00AB5436">
              <w:rPr>
                <w:rFonts w:ascii="Amasis MT Pro Light" w:eastAsia="Times New Roman" w:hAnsi="Amasis MT Pro Light" w:cs="Times New Roman"/>
                <w:lang w:eastAsia="x-none"/>
              </w:rPr>
              <w:t>00,000.00 AFN</w:t>
            </w:r>
            <w:r w:rsidRPr="00105D5F">
              <w:rPr>
                <w:rFonts w:ascii="Amasis MT Pro Light" w:eastAsia="Times New Roman" w:hAnsi="Amasis MT Pro Light" w:cs="Times New Roman"/>
                <w:lang w:eastAsia="x-none"/>
              </w:rPr>
              <w:t xml:space="preserve"> or equivalent in USD</w:t>
            </w:r>
            <w:r>
              <w:rPr>
                <w:rFonts w:ascii="Amasis MT Pro Light" w:eastAsia="Times New Roman" w:hAnsi="Amasis MT Pro Light" w:cs="Times New Roman"/>
                <w:lang w:eastAsia="x-none"/>
              </w:rPr>
              <w:t>.</w:t>
            </w:r>
          </w:p>
        </w:tc>
      </w:tr>
      <w:tr w:rsidR="00DA32A2" w:rsidRPr="00EC151A" w14:paraId="672FC6FE" w14:textId="77777777" w:rsidTr="00BA6298">
        <w:trPr>
          <w:trHeight w:val="2161"/>
        </w:trPr>
        <w:tc>
          <w:tcPr>
            <w:tcW w:w="625" w:type="dxa"/>
            <w:vAlign w:val="center"/>
          </w:tcPr>
          <w:p w14:paraId="4A5B672C" w14:textId="0F7B06C6" w:rsidR="00DA32A2" w:rsidRPr="008F263C" w:rsidRDefault="00DA32A2" w:rsidP="00DA32A2">
            <w:pPr>
              <w:ind w:left="-53"/>
              <w:rPr>
                <w:rFonts w:ascii="Arial" w:hAnsi="Arial" w:cs="Arial"/>
                <w:sz w:val="18"/>
                <w:szCs w:val="18"/>
              </w:rPr>
            </w:pPr>
            <w:r>
              <w:rPr>
                <w:rFonts w:ascii="Arial" w:hAnsi="Arial" w:cs="Arial"/>
                <w:sz w:val="18"/>
                <w:szCs w:val="18"/>
              </w:rPr>
              <w:t>3</w:t>
            </w:r>
          </w:p>
        </w:tc>
        <w:tc>
          <w:tcPr>
            <w:tcW w:w="3780" w:type="dxa"/>
            <w:vAlign w:val="center"/>
          </w:tcPr>
          <w:p w14:paraId="2F91DD33" w14:textId="457897B9" w:rsidR="00DA32A2" w:rsidRPr="00862110" w:rsidRDefault="00DA32A2" w:rsidP="00DA32A2">
            <w:pPr>
              <w:pStyle w:val="ListParagraph"/>
              <w:ind w:left="-53"/>
              <w:rPr>
                <w:rFonts w:ascii="Amasis MT Pro Light" w:eastAsia="Times New Roman" w:hAnsi="Amasis MT Pro Light" w:cs="Times New Roman"/>
                <w:lang w:eastAsia="x-none"/>
              </w:rPr>
            </w:pPr>
            <w:r w:rsidRPr="00F0500E">
              <w:rPr>
                <w:rFonts w:ascii="Amasis MT Pro Light" w:hAnsi="Amasis MT Pro Light" w:cs="Arial"/>
                <w:b/>
                <w:bCs/>
              </w:rPr>
              <w:t xml:space="preserve">Bid securities </w:t>
            </w:r>
          </w:p>
        </w:tc>
        <w:tc>
          <w:tcPr>
            <w:tcW w:w="5220" w:type="dxa"/>
            <w:vAlign w:val="center"/>
          </w:tcPr>
          <w:p w14:paraId="09DFBBAE" w14:textId="3A7717A7" w:rsidR="00DA32A2" w:rsidRPr="00862110" w:rsidRDefault="00DA32A2" w:rsidP="00DA32A2">
            <w:pPr>
              <w:pStyle w:val="ListParagraph"/>
              <w:ind w:left="-53"/>
              <w:rPr>
                <w:rFonts w:ascii="Amasis MT Pro Light" w:eastAsia="Times New Roman" w:hAnsi="Amasis MT Pro Light" w:cs="Times New Roman"/>
                <w:lang w:eastAsia="x-none"/>
              </w:rPr>
            </w:pPr>
            <w:r w:rsidRPr="00325146">
              <w:rPr>
                <w:rFonts w:ascii="Amasis MT Pro Light" w:eastAsia="Times New Roman" w:hAnsi="Amasis MT Pro Light" w:cs="Times New Roman"/>
                <w:lang w:eastAsia="x-none"/>
              </w:rPr>
              <w:t xml:space="preserve">The amount of bid security shall be </w:t>
            </w:r>
            <w:r w:rsidRPr="00AB5436">
              <w:rPr>
                <w:rFonts w:ascii="Amasis MT Pro Light" w:eastAsia="Times New Roman" w:hAnsi="Amasis MT Pro Light" w:cs="Times New Roman"/>
                <w:lang w:eastAsia="x-none"/>
              </w:rPr>
              <w:t>AFN 6</w:t>
            </w:r>
            <w:r>
              <w:rPr>
                <w:rFonts w:ascii="Amasis MT Pro Light" w:eastAsia="Times New Roman" w:hAnsi="Amasis MT Pro Light" w:cs="Times New Roman"/>
                <w:lang w:eastAsia="x-none"/>
              </w:rPr>
              <w:t>8</w:t>
            </w:r>
            <w:r w:rsidRPr="00AB5436">
              <w:rPr>
                <w:rFonts w:ascii="Amasis MT Pro Light" w:eastAsia="Times New Roman" w:hAnsi="Amasis MT Pro Light" w:cs="Times New Roman"/>
                <w:lang w:eastAsia="x-none"/>
              </w:rPr>
              <w:t>5,000.00 or</w:t>
            </w:r>
            <w:r w:rsidRPr="00325146">
              <w:rPr>
                <w:rFonts w:ascii="Amasis MT Pro Light" w:eastAsia="Times New Roman" w:hAnsi="Amasis MT Pro Light" w:cs="Times New Roman"/>
                <w:lang w:eastAsia="x-none"/>
              </w:rPr>
              <w:t xml:space="preserve"> equivalent in USD.</w:t>
            </w:r>
          </w:p>
        </w:tc>
      </w:tr>
    </w:tbl>
    <w:p w14:paraId="4ABA1E68" w14:textId="77777777" w:rsidR="00B81107" w:rsidRDefault="00B81107" w:rsidP="00B81107">
      <w:pPr>
        <w:rPr>
          <w:rFonts w:ascii="Arial" w:hAnsi="Arial" w:cs="Arial"/>
          <w:sz w:val="22"/>
          <w:szCs w:val="22"/>
        </w:rPr>
      </w:pPr>
    </w:p>
    <w:p w14:paraId="10CF1CB9" w14:textId="77777777" w:rsidR="00841467" w:rsidRDefault="00841467" w:rsidP="00105832">
      <w:pPr>
        <w:jc w:val="both"/>
        <w:rPr>
          <w:rFonts w:ascii="Amasis MT Pro Light" w:hAnsi="Amasis MT Pro Light" w:cs="Arial"/>
          <w:b/>
          <w:bCs/>
        </w:rPr>
      </w:pPr>
    </w:p>
    <w:p w14:paraId="7ABF19DC" w14:textId="77777777" w:rsidR="00841467" w:rsidRDefault="00841467" w:rsidP="00105832">
      <w:pPr>
        <w:jc w:val="both"/>
        <w:rPr>
          <w:rFonts w:ascii="Amasis MT Pro Light" w:hAnsi="Amasis MT Pro Light" w:cs="Arial"/>
          <w:b/>
          <w:bCs/>
        </w:rPr>
      </w:pPr>
    </w:p>
    <w:p w14:paraId="67E0EFB8" w14:textId="77777777" w:rsidR="00841467" w:rsidRDefault="00841467" w:rsidP="00105832">
      <w:pPr>
        <w:jc w:val="both"/>
        <w:rPr>
          <w:rFonts w:ascii="Amasis MT Pro Light" w:hAnsi="Amasis MT Pro Light" w:cs="Arial"/>
          <w:b/>
          <w:bCs/>
        </w:rPr>
      </w:pPr>
    </w:p>
    <w:p w14:paraId="6B377F5F" w14:textId="77777777" w:rsidR="00841467" w:rsidRDefault="00841467" w:rsidP="00105832">
      <w:pPr>
        <w:jc w:val="both"/>
        <w:rPr>
          <w:rFonts w:ascii="Amasis MT Pro Light" w:hAnsi="Amasis MT Pro Light" w:cs="Arial"/>
          <w:b/>
          <w:bCs/>
        </w:rPr>
      </w:pPr>
    </w:p>
    <w:tbl>
      <w:tblPr>
        <w:tblStyle w:val="TableGrid"/>
        <w:tblW w:w="0" w:type="auto"/>
        <w:tblLook w:val="04A0" w:firstRow="1" w:lastRow="0" w:firstColumn="1" w:lastColumn="0" w:noHBand="0" w:noVBand="1"/>
      </w:tblPr>
      <w:tblGrid>
        <w:gridCol w:w="635"/>
        <w:gridCol w:w="3776"/>
        <w:gridCol w:w="5299"/>
      </w:tblGrid>
      <w:tr w:rsidR="00841467" w14:paraId="71C5F98A" w14:textId="77777777" w:rsidTr="00841467">
        <w:tc>
          <w:tcPr>
            <w:tcW w:w="635" w:type="dxa"/>
          </w:tcPr>
          <w:p w14:paraId="1E81C688" w14:textId="18C403CC" w:rsidR="00841467" w:rsidRDefault="00841467" w:rsidP="00105832">
            <w:pPr>
              <w:jc w:val="both"/>
              <w:rPr>
                <w:rFonts w:ascii="Amasis MT Pro Light" w:hAnsi="Amasis MT Pro Light" w:cs="Arial"/>
                <w:b/>
                <w:bCs/>
              </w:rPr>
            </w:pPr>
            <w:r>
              <w:rPr>
                <w:rFonts w:ascii="Amasis MT Pro Light" w:hAnsi="Amasis MT Pro Light" w:cs="Arial"/>
                <w:b/>
                <w:bCs/>
              </w:rPr>
              <w:t>S/N</w:t>
            </w:r>
          </w:p>
        </w:tc>
        <w:tc>
          <w:tcPr>
            <w:tcW w:w="3776" w:type="dxa"/>
          </w:tcPr>
          <w:p w14:paraId="73AA13F6" w14:textId="11121B1C" w:rsidR="00841467" w:rsidRDefault="00841467" w:rsidP="00105832">
            <w:pPr>
              <w:jc w:val="both"/>
              <w:rPr>
                <w:rFonts w:ascii="Amasis MT Pro Light" w:hAnsi="Amasis MT Pro Light" w:cs="Arial"/>
                <w:b/>
                <w:bCs/>
              </w:rPr>
            </w:pPr>
            <w:r>
              <w:rPr>
                <w:rFonts w:ascii="Amasis MT Pro Light" w:hAnsi="Amasis MT Pro Light" w:cs="Arial"/>
                <w:b/>
                <w:bCs/>
              </w:rPr>
              <w:t xml:space="preserve">Clauses </w:t>
            </w:r>
          </w:p>
        </w:tc>
        <w:tc>
          <w:tcPr>
            <w:tcW w:w="5299" w:type="dxa"/>
          </w:tcPr>
          <w:p w14:paraId="5ECCCC49" w14:textId="25382D94" w:rsidR="00841467" w:rsidRDefault="00841467" w:rsidP="00105832">
            <w:pPr>
              <w:jc w:val="both"/>
              <w:rPr>
                <w:rFonts w:ascii="Amasis MT Pro Light" w:hAnsi="Amasis MT Pro Light" w:cs="Arial"/>
                <w:b/>
                <w:bCs/>
              </w:rPr>
            </w:pPr>
            <w:r>
              <w:rPr>
                <w:rFonts w:ascii="Amasis MT Pro Light" w:hAnsi="Amasis MT Pro Light" w:cs="Arial"/>
                <w:b/>
                <w:bCs/>
              </w:rPr>
              <w:t>Important clause of Bidding document</w:t>
            </w:r>
          </w:p>
        </w:tc>
      </w:tr>
      <w:tr w:rsidR="00841467" w14:paraId="3978960D" w14:textId="77777777" w:rsidTr="00841467">
        <w:tc>
          <w:tcPr>
            <w:tcW w:w="635" w:type="dxa"/>
          </w:tcPr>
          <w:p w14:paraId="530307FC" w14:textId="77777777" w:rsidR="00841467" w:rsidRDefault="00841467" w:rsidP="00841467">
            <w:pPr>
              <w:jc w:val="both"/>
              <w:rPr>
                <w:rFonts w:ascii="Amasis MT Pro Light" w:hAnsi="Amasis MT Pro Light" w:cs="Arial"/>
                <w:b/>
                <w:bCs/>
              </w:rPr>
            </w:pPr>
          </w:p>
        </w:tc>
        <w:tc>
          <w:tcPr>
            <w:tcW w:w="3776" w:type="dxa"/>
            <w:vAlign w:val="center"/>
          </w:tcPr>
          <w:p w14:paraId="36563B45" w14:textId="588DED4D" w:rsidR="00841467" w:rsidRDefault="00841467" w:rsidP="00841467">
            <w:pPr>
              <w:jc w:val="both"/>
              <w:rPr>
                <w:rFonts w:ascii="Amasis MT Pro Light" w:hAnsi="Amasis MT Pro Light" w:cs="Arial"/>
                <w:b/>
                <w:bCs/>
              </w:rPr>
            </w:pPr>
            <w:r w:rsidRPr="005752D6">
              <w:rPr>
                <w:rFonts w:ascii="Amasis MT Pro Light" w:eastAsia="Times New Roman" w:hAnsi="Amasis MT Pro Light" w:cs="Times New Roman"/>
                <w:b/>
                <w:bCs/>
                <w:lang w:eastAsia="x-none"/>
              </w:rPr>
              <w:t>Delivery time</w:t>
            </w:r>
          </w:p>
        </w:tc>
        <w:tc>
          <w:tcPr>
            <w:tcW w:w="5299" w:type="dxa"/>
          </w:tcPr>
          <w:p w14:paraId="252C8F0C" w14:textId="57D58DD2" w:rsidR="00841467" w:rsidRDefault="00841467" w:rsidP="00841467">
            <w:pPr>
              <w:jc w:val="both"/>
              <w:rPr>
                <w:rFonts w:ascii="Amasis MT Pro Light" w:hAnsi="Amasis MT Pro Light" w:cs="Arial"/>
                <w:b/>
                <w:bCs/>
              </w:rPr>
            </w:pPr>
            <w:r w:rsidRPr="00972BC4">
              <w:rPr>
                <w:rFonts w:ascii="Amasis MT Pro Light" w:eastAsia="Times New Roman" w:hAnsi="Amasis MT Pro Light" w:cs="Times New Roman"/>
                <w:lang w:eastAsia="x-none"/>
              </w:rPr>
              <w:t xml:space="preserve">Delivery to each </w:t>
            </w:r>
            <w:r w:rsidRPr="008962A7">
              <w:t>AKDN</w:t>
            </w:r>
            <w:r w:rsidRPr="008962A7">
              <w:rPr>
                <w:rFonts w:ascii="Amasis MT Pro Light" w:eastAsia="Times New Roman" w:hAnsi="Amasis MT Pro Light" w:cs="Times New Roman"/>
                <w:lang w:eastAsia="x-none"/>
              </w:rPr>
              <w:t xml:space="preserve"> agency</w:t>
            </w:r>
            <w:r w:rsidRPr="00972BC4">
              <w:rPr>
                <w:rFonts w:ascii="Amasis MT Pro Light" w:eastAsia="Times New Roman" w:hAnsi="Amasis MT Pro Light" w:cs="Times New Roman"/>
                <w:lang w:eastAsia="x-none"/>
              </w:rPr>
              <w:t xml:space="preserve"> will be based on each call-off during the contract period. After that the PO is issued, it must be delivered within 24 hours / One day (including holidays).</w:t>
            </w:r>
          </w:p>
        </w:tc>
      </w:tr>
      <w:tr w:rsidR="00841467" w14:paraId="02E990D7" w14:textId="77777777" w:rsidTr="00841467">
        <w:tc>
          <w:tcPr>
            <w:tcW w:w="635" w:type="dxa"/>
          </w:tcPr>
          <w:p w14:paraId="622150A1" w14:textId="77777777" w:rsidR="00841467" w:rsidRDefault="00841467" w:rsidP="00841467">
            <w:pPr>
              <w:jc w:val="both"/>
              <w:rPr>
                <w:rFonts w:ascii="Amasis MT Pro Light" w:hAnsi="Amasis MT Pro Light" w:cs="Arial"/>
                <w:b/>
                <w:bCs/>
              </w:rPr>
            </w:pPr>
          </w:p>
        </w:tc>
        <w:tc>
          <w:tcPr>
            <w:tcW w:w="3776" w:type="dxa"/>
            <w:vAlign w:val="center"/>
          </w:tcPr>
          <w:p w14:paraId="331F1D83" w14:textId="36AE8BE1" w:rsidR="00841467" w:rsidRDefault="00841467" w:rsidP="00841467">
            <w:pPr>
              <w:jc w:val="both"/>
              <w:rPr>
                <w:rFonts w:ascii="Amasis MT Pro Light" w:hAnsi="Amasis MT Pro Light" w:cs="Arial"/>
                <w:b/>
                <w:bCs/>
              </w:rPr>
            </w:pPr>
            <w:r w:rsidRPr="00E719E2">
              <w:rPr>
                <w:rFonts w:ascii="Amasis MT Pro Light" w:hAnsi="Amasis MT Pro Light" w:cs="Arial"/>
                <w:b/>
                <w:bCs/>
              </w:rPr>
              <w:t>Quality and quantity check</w:t>
            </w:r>
          </w:p>
        </w:tc>
        <w:tc>
          <w:tcPr>
            <w:tcW w:w="5299" w:type="dxa"/>
            <w:vAlign w:val="center"/>
          </w:tcPr>
          <w:p w14:paraId="6139015D" w14:textId="77777777" w:rsidR="00841467" w:rsidRPr="002E6626" w:rsidRDefault="00841467" w:rsidP="00841467">
            <w:pPr>
              <w:ind w:left="-53"/>
              <w:jc w:val="both"/>
              <w:rPr>
                <w:rFonts w:ascii="Amasis MT Pro Light" w:eastAsia="Times New Roman" w:hAnsi="Amasis MT Pro Light" w:cs="Times New Roman"/>
                <w:lang w:eastAsia="x-none"/>
              </w:rPr>
            </w:pPr>
            <w:r w:rsidRPr="002E6626">
              <w:rPr>
                <w:rFonts w:ascii="Amasis MT Pro Light" w:eastAsia="Times New Roman" w:hAnsi="Amasis MT Pro Light" w:cs="Times New Roman"/>
                <w:lang w:eastAsia="x-none"/>
              </w:rPr>
              <w:t>The assigned inspection committee of each AKDN agency will conduct the quantity inspection for each delivery at their offices compound.</w:t>
            </w:r>
          </w:p>
          <w:p w14:paraId="4BBBE914" w14:textId="62F649B0" w:rsidR="00841467" w:rsidRDefault="00841467" w:rsidP="00841467">
            <w:pPr>
              <w:jc w:val="both"/>
              <w:rPr>
                <w:rFonts w:ascii="Amasis MT Pro Light" w:hAnsi="Amasis MT Pro Light" w:cs="Arial"/>
                <w:b/>
                <w:bCs/>
              </w:rPr>
            </w:pPr>
            <w:r w:rsidRPr="002E6626">
              <w:rPr>
                <w:rFonts w:ascii="Amasis MT Pro Light" w:eastAsia="Times New Roman" w:hAnsi="Amasis MT Pro Light" w:cs="Times New Roman"/>
                <w:lang w:eastAsia="x-none"/>
              </w:rPr>
              <w:t xml:space="preserve">The assigned AKDN agencies’ inspection committee will check and confirm the fuel quality three (03) times (for each agency once in a year in different quarter of the year) during the contract period at the supplier’s expense through a government authorized agency and this will be managed by joint committee of three agencies (AKF, FMIC and </w:t>
            </w:r>
            <w:proofErr w:type="gramStart"/>
            <w:r w:rsidRPr="002E6626">
              <w:rPr>
                <w:rFonts w:ascii="Amasis MT Pro Light" w:eastAsia="Times New Roman" w:hAnsi="Amasis MT Pro Light" w:cs="Times New Roman"/>
                <w:lang w:eastAsia="x-none"/>
              </w:rPr>
              <w:t>AKHS,A</w:t>
            </w:r>
            <w:proofErr w:type="gramEnd"/>
            <w:r w:rsidRPr="002E6626">
              <w:rPr>
                <w:rFonts w:ascii="Amasis MT Pro Light" w:eastAsia="Times New Roman" w:hAnsi="Amasis MT Pro Light" w:cs="Times New Roman"/>
                <w:lang w:eastAsia="x-none"/>
              </w:rPr>
              <w:t>). But if more quality check of the fuel would be required, then the AKDN agencies shall bear the expense.</w:t>
            </w:r>
          </w:p>
        </w:tc>
      </w:tr>
      <w:tr w:rsidR="00841467" w14:paraId="4815EA49" w14:textId="77777777" w:rsidTr="00841467">
        <w:tc>
          <w:tcPr>
            <w:tcW w:w="635" w:type="dxa"/>
          </w:tcPr>
          <w:p w14:paraId="55664326" w14:textId="77777777" w:rsidR="00841467" w:rsidRDefault="00841467" w:rsidP="00841467">
            <w:pPr>
              <w:jc w:val="both"/>
              <w:rPr>
                <w:rFonts w:ascii="Amasis MT Pro Light" w:hAnsi="Amasis MT Pro Light" w:cs="Arial"/>
                <w:b/>
                <w:bCs/>
              </w:rPr>
            </w:pPr>
          </w:p>
        </w:tc>
        <w:tc>
          <w:tcPr>
            <w:tcW w:w="3776" w:type="dxa"/>
            <w:vAlign w:val="center"/>
          </w:tcPr>
          <w:p w14:paraId="4F2AE7BE" w14:textId="1D75DD46" w:rsidR="00841467" w:rsidRDefault="00841467" w:rsidP="00841467">
            <w:pPr>
              <w:jc w:val="both"/>
              <w:rPr>
                <w:rFonts w:ascii="Amasis MT Pro Light" w:hAnsi="Amasis MT Pro Light" w:cs="Arial"/>
                <w:b/>
                <w:bCs/>
              </w:rPr>
            </w:pPr>
            <w:r>
              <w:rPr>
                <w:rFonts w:ascii="Amasis MT Pro Light" w:hAnsi="Amasis MT Pro Light" w:cs="Arial"/>
                <w:b/>
                <w:bCs/>
              </w:rPr>
              <w:t>Cleaning of fuel tankers</w:t>
            </w:r>
          </w:p>
        </w:tc>
        <w:tc>
          <w:tcPr>
            <w:tcW w:w="5299" w:type="dxa"/>
            <w:vAlign w:val="center"/>
          </w:tcPr>
          <w:p w14:paraId="3C0933D3" w14:textId="4DB69554" w:rsidR="00841467" w:rsidRDefault="00841467" w:rsidP="00841467">
            <w:pPr>
              <w:jc w:val="both"/>
              <w:rPr>
                <w:rFonts w:ascii="Amasis MT Pro Light" w:hAnsi="Amasis MT Pro Light" w:cs="Arial"/>
                <w:b/>
                <w:bCs/>
              </w:rPr>
            </w:pPr>
            <w:r w:rsidRPr="002E6626">
              <w:rPr>
                <w:rFonts w:ascii="Amasis MT Pro Light" w:eastAsia="Times New Roman" w:hAnsi="Amasis MT Pro Light" w:cs="Times New Roman"/>
                <w:lang w:eastAsia="x-none"/>
              </w:rPr>
              <w:t>The fuel tanker of each AKDN agency will be cleaned by supplier once in a quarter.</w:t>
            </w:r>
          </w:p>
        </w:tc>
      </w:tr>
      <w:tr w:rsidR="00841467" w14:paraId="7F078123" w14:textId="77777777" w:rsidTr="00841467">
        <w:tc>
          <w:tcPr>
            <w:tcW w:w="635" w:type="dxa"/>
          </w:tcPr>
          <w:p w14:paraId="0BC9DB0C" w14:textId="77777777" w:rsidR="00841467" w:rsidRDefault="00841467" w:rsidP="00841467">
            <w:pPr>
              <w:jc w:val="both"/>
              <w:rPr>
                <w:rFonts w:ascii="Amasis MT Pro Light" w:hAnsi="Amasis MT Pro Light" w:cs="Arial"/>
                <w:b/>
                <w:bCs/>
              </w:rPr>
            </w:pPr>
          </w:p>
        </w:tc>
        <w:tc>
          <w:tcPr>
            <w:tcW w:w="3776" w:type="dxa"/>
            <w:vAlign w:val="center"/>
          </w:tcPr>
          <w:p w14:paraId="59E51DBF" w14:textId="708B9B9E" w:rsidR="00841467" w:rsidRDefault="00841467" w:rsidP="00841467">
            <w:pPr>
              <w:jc w:val="both"/>
              <w:rPr>
                <w:rFonts w:ascii="Amasis MT Pro Light" w:hAnsi="Amasis MT Pro Light" w:cs="Arial"/>
                <w:b/>
                <w:bCs/>
              </w:rPr>
            </w:pPr>
            <w:r>
              <w:rPr>
                <w:rFonts w:ascii="Amasis MT Pro Light" w:hAnsi="Amasis MT Pro Light" w:cs="Arial"/>
                <w:b/>
                <w:bCs/>
              </w:rPr>
              <w:t>Payment Procedure</w:t>
            </w:r>
          </w:p>
        </w:tc>
        <w:tc>
          <w:tcPr>
            <w:tcW w:w="5299" w:type="dxa"/>
            <w:vAlign w:val="center"/>
          </w:tcPr>
          <w:p w14:paraId="45B2FFAE" w14:textId="36DDF004" w:rsidR="00841467" w:rsidRDefault="00841467" w:rsidP="00841467">
            <w:pPr>
              <w:jc w:val="both"/>
              <w:rPr>
                <w:rFonts w:ascii="Amasis MT Pro Light" w:hAnsi="Amasis MT Pro Light" w:cs="Arial"/>
                <w:b/>
                <w:bCs/>
              </w:rPr>
            </w:pPr>
            <w:r w:rsidRPr="002E6626">
              <w:rPr>
                <w:rFonts w:ascii="Amasis MT Pro Light" w:eastAsia="Times New Roman" w:hAnsi="Amasis MT Pro Light" w:cs="Times New Roman"/>
                <w:lang w:eastAsia="x-none"/>
              </w:rPr>
              <w:t>As per the call-off order, after each successful delivery of fuel, payments shall be made by the Finance Department of AKDN agencies directly to the company’s bank account. This will occur after the successful delivery of fuel and receipt of the invoice, within 30 days.</w:t>
            </w:r>
          </w:p>
        </w:tc>
      </w:tr>
      <w:tr w:rsidR="00841467" w14:paraId="67D523C5" w14:textId="77777777" w:rsidTr="00841467">
        <w:tc>
          <w:tcPr>
            <w:tcW w:w="635" w:type="dxa"/>
          </w:tcPr>
          <w:p w14:paraId="5DF20E21" w14:textId="77777777" w:rsidR="00841467" w:rsidRDefault="00841467" w:rsidP="00841467">
            <w:pPr>
              <w:jc w:val="both"/>
              <w:rPr>
                <w:rFonts w:ascii="Amasis MT Pro Light" w:hAnsi="Amasis MT Pro Light" w:cs="Arial"/>
                <w:b/>
                <w:bCs/>
              </w:rPr>
            </w:pPr>
          </w:p>
        </w:tc>
        <w:tc>
          <w:tcPr>
            <w:tcW w:w="3776" w:type="dxa"/>
            <w:vAlign w:val="center"/>
          </w:tcPr>
          <w:p w14:paraId="2A14EFEA" w14:textId="7B4D876A" w:rsidR="00841467" w:rsidRDefault="00841467" w:rsidP="00841467">
            <w:pPr>
              <w:jc w:val="both"/>
              <w:rPr>
                <w:rFonts w:ascii="Amasis MT Pro Light" w:hAnsi="Amasis MT Pro Light" w:cs="Arial"/>
                <w:b/>
                <w:bCs/>
              </w:rPr>
            </w:pPr>
            <w:r>
              <w:rPr>
                <w:rFonts w:ascii="Amasis MT Pro Light" w:hAnsi="Amasis MT Pro Light" w:cs="Arial"/>
                <w:b/>
                <w:bCs/>
              </w:rPr>
              <w:t>Price Adjustment</w:t>
            </w:r>
          </w:p>
        </w:tc>
        <w:tc>
          <w:tcPr>
            <w:tcW w:w="5299" w:type="dxa"/>
            <w:vAlign w:val="center"/>
          </w:tcPr>
          <w:p w14:paraId="0044BB61" w14:textId="6850F606" w:rsidR="00841467" w:rsidRDefault="00841467" w:rsidP="00841467">
            <w:pPr>
              <w:jc w:val="both"/>
              <w:rPr>
                <w:rFonts w:ascii="Amasis MT Pro Light" w:hAnsi="Amasis MT Pro Light" w:cs="Arial"/>
                <w:b/>
                <w:bCs/>
              </w:rPr>
            </w:pPr>
            <w:r w:rsidRPr="002E6626">
              <w:rPr>
                <w:rFonts w:ascii="Amasis MT Pro Light" w:eastAsia="Times New Roman" w:hAnsi="Amasis MT Pro Light" w:cs="Times New Roman"/>
                <w:lang w:eastAsia="x-none"/>
              </w:rPr>
              <w:t>The agreed prices specified in the Contract will remain fixed for the period of two months following the contract award date. Thereafter, prices will be reviewed monthly following the quotations collected from multiple sources by the joint committee of AKDN agencies. The lowest quotation will be adopted as an amendment for the subsequent one-month period.</w:t>
            </w:r>
          </w:p>
        </w:tc>
      </w:tr>
    </w:tbl>
    <w:p w14:paraId="65313956" w14:textId="77777777" w:rsidR="00841467" w:rsidRDefault="00841467" w:rsidP="00105832">
      <w:pPr>
        <w:jc w:val="both"/>
        <w:rPr>
          <w:rFonts w:ascii="Amasis MT Pro Light" w:hAnsi="Amasis MT Pro Light" w:cs="Arial"/>
          <w:b/>
          <w:bCs/>
        </w:rPr>
      </w:pPr>
    </w:p>
    <w:p w14:paraId="077AE166" w14:textId="4B1E51B4" w:rsidR="009243D6" w:rsidRPr="00130F1C" w:rsidRDefault="008F263C" w:rsidP="00105832">
      <w:pPr>
        <w:jc w:val="both"/>
        <w:rPr>
          <w:rFonts w:ascii="Amasis MT Pro Light" w:hAnsi="Amasis MT Pro Light" w:cs="Arial"/>
        </w:rPr>
      </w:pPr>
      <w:r w:rsidRPr="00130F1C">
        <w:rPr>
          <w:rFonts w:ascii="Amasis MT Pro Light" w:hAnsi="Amasis MT Pro Light" w:cs="Arial"/>
          <w:b/>
          <w:bCs/>
        </w:rPr>
        <w:t>Note:</w:t>
      </w:r>
      <w:r w:rsidRPr="00130F1C">
        <w:rPr>
          <w:rFonts w:ascii="Amasis MT Pro Light" w:hAnsi="Amasis MT Pro Light" w:cs="Arial"/>
        </w:rPr>
        <w:t xml:space="preserve"> </w:t>
      </w:r>
      <w:r w:rsidR="00860803" w:rsidRPr="00130F1C">
        <w:rPr>
          <w:rFonts w:ascii="Amasis MT Pro Light" w:hAnsi="Amasis MT Pro Light" w:cs="Arial"/>
        </w:rPr>
        <w:t xml:space="preserve">Should any of the information data submitted by the bidder in the documents be unclear and not substantiated by supporting documents, such information shall not be considered for evaluation. </w:t>
      </w:r>
    </w:p>
    <w:p w14:paraId="05F84F5D" w14:textId="77777777" w:rsidR="00553B86" w:rsidRPr="00130F1C" w:rsidRDefault="00553B86" w:rsidP="00105832">
      <w:pPr>
        <w:jc w:val="both"/>
        <w:rPr>
          <w:rFonts w:ascii="Amasis MT Pro Light" w:hAnsi="Amasis MT Pro Light" w:cs="Arial"/>
        </w:rPr>
      </w:pPr>
    </w:p>
    <w:p w14:paraId="57CAE395" w14:textId="1025B9FC" w:rsidR="008917DF" w:rsidRPr="00130F1C" w:rsidRDefault="008917DF" w:rsidP="00105832">
      <w:pPr>
        <w:jc w:val="both"/>
        <w:rPr>
          <w:rFonts w:ascii="Amasis MT Pro Light" w:hAnsi="Amasis MT Pro Light" w:cs="Arial"/>
        </w:rPr>
      </w:pPr>
      <w:r w:rsidRPr="00130F1C">
        <w:rPr>
          <w:rFonts w:ascii="Amasis MT Pro Light" w:hAnsi="Amasis MT Pro Light" w:cs="Arial"/>
        </w:rPr>
        <w:t>To obtain further information and inspect the bidding documents, bidders should contact:</w:t>
      </w:r>
    </w:p>
    <w:p w14:paraId="08C04CC9" w14:textId="77777777" w:rsidR="00F82FE1" w:rsidRPr="00130F1C" w:rsidRDefault="00F82FE1" w:rsidP="00105832">
      <w:pPr>
        <w:jc w:val="both"/>
        <w:rPr>
          <w:rFonts w:ascii="Amasis MT Pro Light" w:hAnsi="Amasis MT Pro Light" w:cs="Arial"/>
        </w:rPr>
      </w:pP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7848"/>
      </w:tblGrid>
      <w:tr w:rsidR="00FF7B2E" w:rsidRPr="00130F1C" w14:paraId="2D2E7127" w14:textId="77777777" w:rsidTr="00190D28">
        <w:trPr>
          <w:trHeight w:val="369"/>
        </w:trPr>
        <w:tc>
          <w:tcPr>
            <w:tcW w:w="1260" w:type="dxa"/>
          </w:tcPr>
          <w:p w14:paraId="1D89BE25" w14:textId="77777777" w:rsidR="00FF7B2E" w:rsidRPr="00130F1C" w:rsidRDefault="00FF7B2E" w:rsidP="00105832">
            <w:pPr>
              <w:jc w:val="both"/>
              <w:rPr>
                <w:rFonts w:ascii="Amasis MT Pro Light" w:hAnsi="Amasis MT Pro Light" w:cs="Arial"/>
                <w:b/>
                <w:bCs/>
                <w:u w:val="single"/>
              </w:rPr>
            </w:pPr>
            <w:r w:rsidRPr="00130F1C">
              <w:rPr>
                <w:rFonts w:ascii="Amasis MT Pro Light" w:hAnsi="Amasis MT Pro Light" w:cs="Arial"/>
                <w:b/>
                <w:bCs/>
                <w:u w:val="single"/>
              </w:rPr>
              <w:t>Attention:</w:t>
            </w:r>
          </w:p>
        </w:tc>
        <w:tc>
          <w:tcPr>
            <w:tcW w:w="7848" w:type="dxa"/>
          </w:tcPr>
          <w:p w14:paraId="5F507892" w14:textId="4D694EC2" w:rsidR="00FF7B2E" w:rsidRPr="00130F1C" w:rsidRDefault="0065690B" w:rsidP="00105832">
            <w:pPr>
              <w:tabs>
                <w:tab w:val="left" w:pos="3130"/>
              </w:tabs>
              <w:jc w:val="both"/>
              <w:rPr>
                <w:rFonts w:ascii="Amasis MT Pro Light" w:hAnsi="Amasis MT Pro Light" w:cs="Arial"/>
              </w:rPr>
            </w:pPr>
            <w:r w:rsidRPr="00654F5E">
              <w:rPr>
                <w:rFonts w:ascii="Amasis MT Pro Light" w:hAnsi="Amasis MT Pro Light" w:cs="Arial"/>
                <w:b/>
                <w:bCs/>
              </w:rPr>
              <w:t>M</w:t>
            </w:r>
            <w:r w:rsidR="008F263C" w:rsidRPr="00654F5E">
              <w:rPr>
                <w:rFonts w:ascii="Amasis MT Pro Light" w:hAnsi="Amasis MT Pro Light" w:cs="Arial"/>
                <w:b/>
                <w:bCs/>
              </w:rPr>
              <w:t>r. Abdul Moeen Zarif</w:t>
            </w:r>
            <w:r w:rsidR="00190D28" w:rsidRPr="00130F1C">
              <w:rPr>
                <w:rFonts w:ascii="Amasis MT Pro Light" w:hAnsi="Amasis MT Pro Light" w:cs="Arial"/>
              </w:rPr>
              <w:tab/>
            </w:r>
            <w:r w:rsidR="00190D28" w:rsidRPr="00654F5E">
              <w:rPr>
                <w:rFonts w:ascii="Amasis MT Pro Light" w:hAnsi="Amasis MT Pro Light" w:cs="Arial"/>
                <w:b/>
                <w:bCs/>
              </w:rPr>
              <w:t>Position:</w:t>
            </w:r>
            <w:r w:rsidR="00190D28" w:rsidRPr="00130F1C">
              <w:rPr>
                <w:rFonts w:ascii="Amasis MT Pro Light" w:hAnsi="Amasis MT Pro Light" w:cs="Arial"/>
              </w:rPr>
              <w:t xml:space="preserve"> </w:t>
            </w:r>
            <w:r w:rsidR="008F263C" w:rsidRPr="00654F5E">
              <w:rPr>
                <w:rFonts w:ascii="Amasis MT Pro Light" w:hAnsi="Amasis MT Pro Light" w:cs="Arial"/>
                <w:b/>
                <w:bCs/>
              </w:rPr>
              <w:t>Procurement Manager</w:t>
            </w:r>
          </w:p>
        </w:tc>
      </w:tr>
      <w:tr w:rsidR="00FF7B2E" w:rsidRPr="00130F1C" w14:paraId="50570E7D" w14:textId="77777777" w:rsidTr="00190D28">
        <w:trPr>
          <w:trHeight w:val="333"/>
        </w:trPr>
        <w:tc>
          <w:tcPr>
            <w:tcW w:w="1260" w:type="dxa"/>
            <w:vAlign w:val="center"/>
          </w:tcPr>
          <w:p w14:paraId="00F26078" w14:textId="1AB617C8"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Address:</w:t>
            </w:r>
          </w:p>
        </w:tc>
        <w:tc>
          <w:tcPr>
            <w:tcW w:w="7848" w:type="dxa"/>
            <w:vAlign w:val="center"/>
          </w:tcPr>
          <w:p w14:paraId="6D6B8194" w14:textId="0296A267" w:rsidR="00FF7B2E" w:rsidRPr="00130F1C" w:rsidRDefault="008F263C" w:rsidP="00105832">
            <w:pPr>
              <w:pStyle w:val="ListParagraph"/>
              <w:ind w:left="0"/>
              <w:jc w:val="both"/>
              <w:rPr>
                <w:rFonts w:ascii="Amasis MT Pro Light" w:hAnsi="Amasis MT Pro Light" w:cs="Arial"/>
              </w:rPr>
            </w:pPr>
            <w:r w:rsidRPr="00130F1C">
              <w:rPr>
                <w:rFonts w:ascii="Amasis MT Pro Light" w:hAnsi="Amasis MT Pro Light" w:cs="Arial"/>
              </w:rPr>
              <w:t xml:space="preserve">House 42, Behind Kabul Municipality Apartments, </w:t>
            </w:r>
            <w:proofErr w:type="spellStart"/>
            <w:r w:rsidRPr="00130F1C">
              <w:rPr>
                <w:rFonts w:ascii="Amasis MT Pro Light" w:hAnsi="Amasis MT Pro Light" w:cs="Arial"/>
              </w:rPr>
              <w:t>Klola</w:t>
            </w:r>
            <w:proofErr w:type="spellEnd"/>
            <w:r w:rsidRPr="00130F1C">
              <w:rPr>
                <w:rFonts w:ascii="Amasis MT Pro Light" w:hAnsi="Amasis MT Pro Light" w:cs="Arial"/>
              </w:rPr>
              <w:t xml:space="preserve"> Pushta, District 4, Kabul, Afghanistan</w:t>
            </w:r>
          </w:p>
        </w:tc>
      </w:tr>
      <w:tr w:rsidR="00FF7B2E" w:rsidRPr="00130F1C" w14:paraId="04389F24" w14:textId="77777777" w:rsidTr="00190D28">
        <w:trPr>
          <w:trHeight w:val="333"/>
        </w:trPr>
        <w:tc>
          <w:tcPr>
            <w:tcW w:w="1260" w:type="dxa"/>
            <w:vAlign w:val="center"/>
          </w:tcPr>
          <w:p w14:paraId="36D3C33A" w14:textId="216DC364"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 xml:space="preserve">Email: </w:t>
            </w:r>
          </w:p>
        </w:tc>
        <w:tc>
          <w:tcPr>
            <w:tcW w:w="7848" w:type="dxa"/>
            <w:vAlign w:val="center"/>
          </w:tcPr>
          <w:p w14:paraId="74F55E89" w14:textId="5CEF6688" w:rsidR="00FF7B2E" w:rsidRPr="00130F1C" w:rsidRDefault="00306EF1" w:rsidP="00105832">
            <w:pPr>
              <w:jc w:val="both"/>
              <w:rPr>
                <w:rFonts w:ascii="Amasis MT Pro Light" w:hAnsi="Amasis MT Pro Light" w:cs="Arial"/>
              </w:rPr>
            </w:pPr>
            <w:hyperlink r:id="rId9" w:history="1">
              <w:r w:rsidRPr="00130F1C">
                <w:rPr>
                  <w:rStyle w:val="Hyperlink"/>
                  <w:rFonts w:ascii="Amasis MT Pro Light" w:hAnsi="Amasis MT Pro Light"/>
                </w:rPr>
                <w:t>m</w:t>
              </w:r>
              <w:r w:rsidRPr="00130F1C">
                <w:rPr>
                  <w:rStyle w:val="Hyperlink"/>
                  <w:rFonts w:ascii="Amasis MT Pro Light" w:hAnsi="Amasis MT Pro Light" w:cs="Arial"/>
                </w:rPr>
                <w:t>oeen.zarif@akdn.org</w:t>
              </w:r>
            </w:hyperlink>
            <w:r w:rsidR="008F263C" w:rsidRPr="00130F1C">
              <w:rPr>
                <w:rFonts w:ascii="Amasis MT Pro Light" w:hAnsi="Amasis MT Pro Light" w:cs="Arial"/>
              </w:rPr>
              <w:t xml:space="preserve"> </w:t>
            </w:r>
            <w:r w:rsidR="00F82FE1" w:rsidRPr="00130F1C">
              <w:rPr>
                <w:rFonts w:ascii="Amasis MT Pro Light" w:hAnsi="Amasis MT Pro Light" w:cs="Arial"/>
              </w:rPr>
              <w:t xml:space="preserve">and </w:t>
            </w:r>
            <w:r w:rsidR="00105832" w:rsidRPr="00130F1C">
              <w:rPr>
                <w:rFonts w:ascii="Amasis MT Pro Light" w:hAnsi="Amasis MT Pro Light" w:cs="Arial"/>
              </w:rPr>
              <w:t>copy</w:t>
            </w:r>
            <w:r w:rsidR="00F82FE1" w:rsidRPr="00130F1C">
              <w:rPr>
                <w:rFonts w:ascii="Amasis MT Pro Light" w:hAnsi="Amasis MT Pro Light" w:cs="Arial"/>
              </w:rPr>
              <w:t xml:space="preserve"> to: </w:t>
            </w:r>
            <w:r w:rsidR="00F82FE1" w:rsidRPr="00130F1C">
              <w:rPr>
                <w:rStyle w:val="Hyperlink"/>
              </w:rPr>
              <w:t>procurement.akhsa@akdn.org</w:t>
            </w:r>
          </w:p>
        </w:tc>
      </w:tr>
    </w:tbl>
    <w:p w14:paraId="0208B60C" w14:textId="77777777" w:rsidR="008321F9" w:rsidRPr="00130F1C" w:rsidRDefault="008321F9" w:rsidP="00105832">
      <w:pPr>
        <w:pStyle w:val="ListParagraph"/>
        <w:ind w:left="0"/>
        <w:jc w:val="both"/>
        <w:rPr>
          <w:rFonts w:ascii="Amasis MT Pro Light" w:hAnsi="Amasis MT Pro Light" w:cs="Arial"/>
        </w:rPr>
      </w:pPr>
    </w:p>
    <w:p w14:paraId="64B42C9E" w14:textId="5084E68C" w:rsidR="008321F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 xml:space="preserve">A complete set of </w:t>
      </w:r>
      <w:r w:rsidR="00FF7B2E" w:rsidRPr="00130F1C">
        <w:rPr>
          <w:rFonts w:ascii="Amasis MT Pro Light" w:hAnsi="Amasis MT Pro Light" w:cs="Arial"/>
        </w:rPr>
        <w:t>bidding documents</w:t>
      </w:r>
      <w:r w:rsidRPr="00130F1C">
        <w:rPr>
          <w:rFonts w:ascii="Amasis MT Pro Light" w:hAnsi="Amasis MT Pro Light" w:cs="Arial"/>
        </w:rPr>
        <w:t xml:space="preserve"> in English </w:t>
      </w:r>
      <w:r w:rsidR="009243D6" w:rsidRPr="00130F1C">
        <w:rPr>
          <w:rFonts w:ascii="Amasis MT Pro Light" w:hAnsi="Amasis MT Pro Light" w:cs="Arial"/>
        </w:rPr>
        <w:t>can</w:t>
      </w:r>
      <w:r w:rsidRPr="00130F1C">
        <w:rPr>
          <w:rFonts w:ascii="Amasis MT Pro Light" w:hAnsi="Amasis MT Pro Light" w:cs="Arial"/>
        </w:rPr>
        <w:t xml:space="preserve"> be obtained by interested eligible bidders in flash</w:t>
      </w:r>
      <w:r w:rsidR="009243D6" w:rsidRPr="00130F1C">
        <w:rPr>
          <w:rFonts w:ascii="Amasis MT Pro Light" w:hAnsi="Amasis MT Pro Light" w:cs="Arial"/>
        </w:rPr>
        <w:t>-d</w:t>
      </w:r>
      <w:r w:rsidR="00862110">
        <w:rPr>
          <w:rFonts w:ascii="Amasis MT Pro Light" w:hAnsi="Amasis MT Pro Light" w:cs="Arial"/>
        </w:rPr>
        <w:t>rive</w:t>
      </w:r>
      <w:r w:rsidRPr="00130F1C">
        <w:rPr>
          <w:rFonts w:ascii="Amasis MT Pro Light" w:hAnsi="Amasis MT Pro Light" w:cs="Arial"/>
        </w:rPr>
        <w:t xml:space="preserve"> from the </w:t>
      </w:r>
      <w:r w:rsidR="0065690B" w:rsidRPr="00130F1C">
        <w:rPr>
          <w:rFonts w:ascii="Amasis MT Pro Light" w:hAnsi="Amasis MT Pro Light" w:cs="Arial"/>
        </w:rPr>
        <w:t>AKHS</w:t>
      </w:r>
      <w:r w:rsidR="00862110">
        <w:rPr>
          <w:rFonts w:ascii="Amasis MT Pro Light" w:hAnsi="Amasis MT Pro Light" w:cs="Arial"/>
        </w:rPr>
        <w:t xml:space="preserve">, </w:t>
      </w:r>
      <w:proofErr w:type="spellStart"/>
      <w:r w:rsidR="0065690B" w:rsidRPr="00130F1C">
        <w:rPr>
          <w:rFonts w:ascii="Amasis MT Pro Light" w:hAnsi="Amasis MT Pro Light" w:cs="Arial"/>
        </w:rPr>
        <w:t>A</w:t>
      </w:r>
      <w:proofErr w:type="spellEnd"/>
      <w:r w:rsidRPr="00130F1C">
        <w:rPr>
          <w:rFonts w:ascii="Amasis MT Pro Light" w:hAnsi="Amasis MT Pro Light" w:cs="Arial"/>
        </w:rPr>
        <w:t xml:space="preserve"> office </w:t>
      </w:r>
      <w:r w:rsidR="00963051" w:rsidRPr="00130F1C">
        <w:rPr>
          <w:rFonts w:ascii="Amasis MT Pro Light" w:hAnsi="Amasis MT Pro Light" w:cs="Arial"/>
        </w:rPr>
        <w:t xml:space="preserve">from address </w:t>
      </w:r>
      <w:r w:rsidR="00FF7B2E" w:rsidRPr="00130F1C">
        <w:rPr>
          <w:rFonts w:ascii="Amasis MT Pro Light" w:hAnsi="Amasis MT Pro Light" w:cs="Arial"/>
        </w:rPr>
        <w:t xml:space="preserve">mentioned </w:t>
      </w:r>
      <w:r w:rsidRPr="00130F1C">
        <w:rPr>
          <w:rFonts w:ascii="Amasis MT Pro Light" w:hAnsi="Amasis MT Pro Light" w:cs="Arial"/>
        </w:rPr>
        <w:t>above</w:t>
      </w:r>
      <w:r w:rsidR="0065690B" w:rsidRPr="00130F1C">
        <w:rPr>
          <w:rFonts w:ascii="Amasis MT Pro Light" w:hAnsi="Amasis MT Pro Light" w:cs="Arial"/>
        </w:rPr>
        <w:t xml:space="preserve">. </w:t>
      </w:r>
    </w:p>
    <w:p w14:paraId="7EBF3C4E" w14:textId="4981AEA0" w:rsidR="00BF2BB9" w:rsidRPr="00553B86" w:rsidRDefault="008917DF" w:rsidP="00BF2BB9">
      <w:pPr>
        <w:spacing w:line="276" w:lineRule="auto"/>
        <w:rPr>
          <w:rFonts w:ascii="Amasis MT Pro Light" w:hAnsi="Amasis MT Pro Light" w:cs="Arial"/>
          <w:bCs/>
        </w:rPr>
      </w:pPr>
      <w:r w:rsidRPr="00130F1C">
        <w:rPr>
          <w:rFonts w:ascii="Amasis MT Pro Light" w:hAnsi="Amasis MT Pro Light" w:cs="Arial"/>
          <w:b/>
          <w:bCs/>
        </w:rPr>
        <w:t xml:space="preserve">Delivery of </w:t>
      </w:r>
      <w:r w:rsidR="008321F9" w:rsidRPr="00130F1C">
        <w:rPr>
          <w:rFonts w:ascii="Amasis MT Pro Light" w:hAnsi="Amasis MT Pro Light" w:cs="Arial"/>
          <w:b/>
          <w:bCs/>
        </w:rPr>
        <w:t>B</w:t>
      </w:r>
      <w:r w:rsidRPr="00130F1C">
        <w:rPr>
          <w:rFonts w:ascii="Amasis MT Pro Light" w:hAnsi="Amasis MT Pro Light" w:cs="Arial"/>
          <w:b/>
          <w:bCs/>
        </w:rPr>
        <w:t>id</w:t>
      </w:r>
      <w:r w:rsidR="00860803" w:rsidRPr="00130F1C">
        <w:rPr>
          <w:rFonts w:ascii="Amasis MT Pro Light" w:hAnsi="Amasis MT Pro Light" w:cs="Arial"/>
          <w:b/>
          <w:bCs/>
        </w:rPr>
        <w:t>s</w:t>
      </w:r>
      <w:r w:rsidRPr="00130F1C">
        <w:rPr>
          <w:rFonts w:ascii="Amasis MT Pro Light" w:hAnsi="Amasis MT Pro Light" w:cs="Arial"/>
          <w:b/>
          <w:bCs/>
        </w:rPr>
        <w:t>:</w:t>
      </w:r>
      <w:r w:rsidRPr="00130F1C">
        <w:rPr>
          <w:rFonts w:ascii="Amasis MT Pro Light" w:hAnsi="Amasis MT Pro Light" w:cs="Arial"/>
        </w:rPr>
        <w:t xml:space="preserve"> Completed documents </w:t>
      </w:r>
      <w:r w:rsidR="008321F9" w:rsidRPr="00130F1C">
        <w:rPr>
          <w:rFonts w:ascii="Amasis MT Pro Light" w:hAnsi="Amasis MT Pro Light" w:cs="Arial"/>
        </w:rPr>
        <w:t xml:space="preserve">sealed in </w:t>
      </w:r>
      <w:r w:rsidR="00BF2BB9">
        <w:rPr>
          <w:rFonts w:ascii="Amasis MT Pro Light" w:hAnsi="Amasis MT Pro Light" w:cs="Arial"/>
        </w:rPr>
        <w:t>an</w:t>
      </w:r>
      <w:r w:rsidR="00371DE1" w:rsidRPr="00130F1C">
        <w:rPr>
          <w:rFonts w:ascii="Amasis MT Pro Light" w:hAnsi="Amasis MT Pro Light" w:cs="Arial"/>
        </w:rPr>
        <w:t xml:space="preserve"> </w:t>
      </w:r>
      <w:r w:rsidRPr="00130F1C">
        <w:rPr>
          <w:rFonts w:ascii="Amasis MT Pro Light" w:hAnsi="Amasis MT Pro Light" w:cs="Arial"/>
        </w:rPr>
        <w:t>envelope clearly marked as</w:t>
      </w:r>
      <w:r w:rsidR="00553B86">
        <w:rPr>
          <w:rFonts w:ascii="Amasis MT Pro Light" w:hAnsi="Amasis MT Pro Light" w:cs="Arial"/>
        </w:rPr>
        <w:t xml:space="preserve"> “</w:t>
      </w:r>
      <w:r w:rsidR="00DA32A2">
        <w:rPr>
          <w:rFonts w:ascii="Amasis MT Pro Light" w:eastAsia="Times New Roman" w:hAnsi="Amasis MT Pro Light" w:cs="Times New Roman"/>
          <w:lang w:eastAsia="x-none"/>
        </w:rPr>
        <w:t>Procurement of f</w:t>
      </w:r>
      <w:r w:rsidR="00DA32A2" w:rsidRPr="005D44F5">
        <w:rPr>
          <w:rFonts w:ascii="Amasis MT Pro Light" w:eastAsia="Times New Roman" w:hAnsi="Amasis MT Pro Light" w:cs="Times New Roman"/>
          <w:lang w:eastAsia="x-none"/>
        </w:rPr>
        <w:t xml:space="preserve">uel </w:t>
      </w:r>
      <w:r w:rsidR="00DA32A2">
        <w:rPr>
          <w:rFonts w:ascii="Amasis MT Pro Light" w:eastAsia="Times New Roman" w:hAnsi="Amasis MT Pro Light" w:cs="Times New Roman"/>
          <w:lang w:eastAsia="x-none"/>
        </w:rPr>
        <w:t>(</w:t>
      </w:r>
      <w:r w:rsidR="00DA32A2" w:rsidRPr="00165E2F">
        <w:rPr>
          <w:rFonts w:ascii="Amasis MT Pro Light" w:eastAsia="Times New Roman" w:hAnsi="Amasis MT Pro Light" w:cs="Times New Roman"/>
          <w:lang w:eastAsia="x-none"/>
        </w:rPr>
        <w:t>Diesel</w:t>
      </w:r>
      <w:r w:rsidR="00DA32A2">
        <w:rPr>
          <w:rFonts w:ascii="Amasis MT Pro Light" w:eastAsia="Times New Roman" w:hAnsi="Amasis MT Pro Light" w:cs="Times New Roman"/>
          <w:lang w:eastAsia="x-none"/>
        </w:rPr>
        <w:t xml:space="preserve"> and </w:t>
      </w:r>
      <w:r w:rsidR="00DA32A2" w:rsidRPr="00165E2F">
        <w:rPr>
          <w:rFonts w:ascii="Amasis MT Pro Light" w:eastAsia="Times New Roman" w:hAnsi="Amasis MT Pro Light" w:cs="Times New Roman"/>
          <w:lang w:eastAsia="x-none"/>
        </w:rPr>
        <w:t>Petrol</w:t>
      </w:r>
      <w:r w:rsidR="00DA32A2">
        <w:rPr>
          <w:rFonts w:ascii="Amasis MT Pro Light" w:eastAsia="Times New Roman" w:hAnsi="Amasis MT Pro Light" w:cs="Times New Roman"/>
          <w:lang w:eastAsia="x-none"/>
        </w:rPr>
        <w:t>)</w:t>
      </w:r>
      <w:r w:rsidR="00DA32A2" w:rsidRPr="00165E2F">
        <w:rPr>
          <w:rFonts w:ascii="Amasis MT Pro Light" w:eastAsia="Times New Roman" w:hAnsi="Amasis MT Pro Light" w:cs="Times New Roman"/>
          <w:lang w:eastAsia="x-none"/>
        </w:rPr>
        <w:t xml:space="preserve"> for</w:t>
      </w:r>
      <w:r w:rsidR="00DA32A2" w:rsidRPr="005D44F5">
        <w:rPr>
          <w:rFonts w:ascii="Amasis MT Pro Light" w:eastAsia="Times New Roman" w:hAnsi="Amasis MT Pro Light" w:cs="Times New Roman"/>
          <w:lang w:eastAsia="x-none"/>
        </w:rPr>
        <w:t xml:space="preserve"> AKDN </w:t>
      </w:r>
      <w:r w:rsidR="00DA32A2">
        <w:rPr>
          <w:rFonts w:ascii="Amasis MT Pro Light" w:eastAsia="Times New Roman" w:hAnsi="Amasis MT Pro Light" w:cs="Times New Roman"/>
          <w:lang w:eastAsia="x-none"/>
        </w:rPr>
        <w:t>agencies</w:t>
      </w:r>
      <w:r w:rsidR="00DA32A2" w:rsidRPr="005D44F5">
        <w:rPr>
          <w:rFonts w:ascii="Amasis MT Pro Light" w:eastAsia="Times New Roman" w:hAnsi="Amasis MT Pro Light" w:cs="Times New Roman"/>
          <w:lang w:eastAsia="x-none"/>
        </w:rPr>
        <w:t xml:space="preserve"> (</w:t>
      </w:r>
      <w:r w:rsidR="00DA32A2">
        <w:rPr>
          <w:rFonts w:ascii="Amasis MT Pro Light" w:eastAsia="Times New Roman" w:hAnsi="Amasis MT Pro Light" w:cs="Times New Roman"/>
          <w:lang w:eastAsia="x-none"/>
        </w:rPr>
        <w:t xml:space="preserve">e.g. </w:t>
      </w:r>
      <w:r w:rsidR="00DA32A2" w:rsidRPr="005D44F5">
        <w:rPr>
          <w:rFonts w:ascii="Amasis MT Pro Light" w:eastAsia="Times New Roman" w:hAnsi="Amasis MT Pro Light" w:cs="Times New Roman"/>
          <w:lang w:eastAsia="x-none"/>
        </w:rPr>
        <w:t>AKHS, A</w:t>
      </w:r>
      <w:r w:rsidR="00DA32A2">
        <w:rPr>
          <w:rFonts w:ascii="Amasis MT Pro Light" w:eastAsia="Times New Roman" w:hAnsi="Amasis MT Pro Light" w:cs="Times New Roman"/>
          <w:lang w:eastAsia="x-none"/>
        </w:rPr>
        <w:t xml:space="preserve"> </w:t>
      </w:r>
      <w:r w:rsidR="00DA32A2" w:rsidRPr="005D44F5">
        <w:rPr>
          <w:rFonts w:ascii="Amasis MT Pro Light" w:eastAsia="Times New Roman" w:hAnsi="Amasis MT Pro Light" w:cs="Times New Roman"/>
          <w:lang w:eastAsia="x-none"/>
        </w:rPr>
        <w:t>-</w:t>
      </w:r>
      <w:r w:rsidR="00DA32A2">
        <w:rPr>
          <w:rFonts w:ascii="Amasis MT Pro Light" w:eastAsia="Times New Roman" w:hAnsi="Amasis MT Pro Light" w:cs="Times New Roman"/>
          <w:lang w:eastAsia="x-none"/>
        </w:rPr>
        <w:t xml:space="preserve"> </w:t>
      </w:r>
      <w:r w:rsidR="00DA32A2" w:rsidRPr="005D44F5">
        <w:rPr>
          <w:rFonts w:ascii="Amasis MT Pro Light" w:eastAsia="Times New Roman" w:hAnsi="Amasis MT Pro Light" w:cs="Times New Roman"/>
          <w:lang w:eastAsia="x-none"/>
        </w:rPr>
        <w:t>NPO, AKF</w:t>
      </w:r>
      <w:r w:rsidR="00DA32A2">
        <w:rPr>
          <w:rFonts w:ascii="Amasis MT Pro Light" w:eastAsia="Times New Roman" w:hAnsi="Amasis MT Pro Light" w:cs="Times New Roman"/>
          <w:lang w:eastAsia="x-none"/>
        </w:rPr>
        <w:t>-</w:t>
      </w:r>
      <w:r w:rsidR="00DA32A2" w:rsidRPr="005D44F5">
        <w:rPr>
          <w:rFonts w:ascii="Amasis MT Pro Light" w:eastAsia="Times New Roman" w:hAnsi="Amasis MT Pro Light" w:cs="Times New Roman"/>
          <w:lang w:eastAsia="x-none"/>
        </w:rPr>
        <w:t>A and FMIC)</w:t>
      </w:r>
      <w:r w:rsidR="00DA32A2">
        <w:rPr>
          <w:rFonts w:ascii="Amasis MT Pro Light" w:eastAsia="Times New Roman" w:hAnsi="Amasis MT Pro Light" w:cs="Times New Roman"/>
          <w:lang w:eastAsia="x-none"/>
        </w:rPr>
        <w:t>.</w:t>
      </w:r>
      <w:r w:rsidR="00553B86">
        <w:rPr>
          <w:rFonts w:ascii="Amasis MT Pro Light" w:hAnsi="Amasis MT Pro Light" w:cs="Arial"/>
          <w:bCs/>
        </w:rPr>
        <w:t>”</w:t>
      </w:r>
      <w:r w:rsidRPr="00130F1C">
        <w:rPr>
          <w:rFonts w:ascii="Amasis MT Pro Light" w:hAnsi="Amasis MT Pro Light" w:cs="Arial"/>
        </w:rPr>
        <w:t xml:space="preserve"> with the </w:t>
      </w:r>
      <w:r w:rsidR="00553B86">
        <w:rPr>
          <w:rFonts w:ascii="Amasis MT Pro Light" w:hAnsi="Amasis MT Pro Light" w:cs="Arial"/>
        </w:rPr>
        <w:t xml:space="preserve">reference number of </w:t>
      </w:r>
      <w:r w:rsidR="00BF2BB9">
        <w:rPr>
          <w:color w:val="000000"/>
          <w:sz w:val="28"/>
          <w:szCs w:val="28"/>
        </w:rPr>
        <w:t>NCB</w:t>
      </w:r>
      <w:r w:rsidR="00BF2BB9" w:rsidRPr="00941AB3">
        <w:rPr>
          <w:color w:val="000000"/>
          <w:sz w:val="28"/>
          <w:szCs w:val="28"/>
        </w:rPr>
        <w:t>/</w:t>
      </w:r>
      <w:r w:rsidR="00DA32A2">
        <w:rPr>
          <w:color w:val="000000"/>
          <w:sz w:val="28"/>
          <w:szCs w:val="28"/>
        </w:rPr>
        <w:t>G</w:t>
      </w:r>
      <w:r w:rsidR="00BF2BB9" w:rsidRPr="00941AB3">
        <w:rPr>
          <w:color w:val="000000"/>
          <w:sz w:val="28"/>
          <w:szCs w:val="28"/>
        </w:rPr>
        <w:t>/</w:t>
      </w:r>
      <w:r w:rsidR="00DA32A2">
        <w:rPr>
          <w:color w:val="000000"/>
          <w:sz w:val="28"/>
          <w:szCs w:val="28"/>
        </w:rPr>
        <w:t>0001</w:t>
      </w:r>
      <w:r w:rsidR="00BF2BB9" w:rsidRPr="00941AB3">
        <w:rPr>
          <w:color w:val="000000"/>
          <w:sz w:val="28"/>
          <w:szCs w:val="28"/>
        </w:rPr>
        <w:t>/</w:t>
      </w:r>
      <w:r w:rsidR="00B43D1C">
        <w:rPr>
          <w:color w:val="000000"/>
          <w:sz w:val="28"/>
          <w:szCs w:val="28"/>
        </w:rPr>
        <w:t>GP/</w:t>
      </w:r>
      <w:r w:rsidR="00BF2BB9" w:rsidRPr="00941AB3">
        <w:rPr>
          <w:color w:val="000000"/>
          <w:sz w:val="28"/>
          <w:szCs w:val="28"/>
        </w:rPr>
        <w:t>202</w:t>
      </w:r>
      <w:r w:rsidR="00DA32A2">
        <w:rPr>
          <w:color w:val="000000"/>
          <w:sz w:val="28"/>
          <w:szCs w:val="28"/>
        </w:rPr>
        <w:t>5</w:t>
      </w:r>
    </w:p>
    <w:p w14:paraId="55888313" w14:textId="77777777" w:rsidR="00105832" w:rsidRPr="00130F1C" w:rsidRDefault="00105832" w:rsidP="00105832">
      <w:pPr>
        <w:pStyle w:val="ListParagraph"/>
        <w:ind w:left="0"/>
        <w:jc w:val="both"/>
        <w:rPr>
          <w:rFonts w:ascii="Amasis MT Pro Light" w:hAnsi="Amasis MT Pro Light" w:cs="Arial"/>
        </w:rPr>
      </w:pPr>
    </w:p>
    <w:p w14:paraId="17A2DAC2" w14:textId="4373325A" w:rsidR="00860803" w:rsidRPr="00130F1C" w:rsidRDefault="00860803" w:rsidP="00105832">
      <w:pPr>
        <w:pStyle w:val="ListParagraph"/>
        <w:ind w:left="0"/>
        <w:jc w:val="both"/>
        <w:rPr>
          <w:rFonts w:ascii="Amasis MT Pro Light" w:hAnsi="Amasis MT Pro Light" w:cs="Arial"/>
          <w:b/>
          <w:bCs/>
        </w:rPr>
      </w:pPr>
      <w:r w:rsidRPr="00130F1C">
        <w:rPr>
          <w:rFonts w:ascii="Amasis MT Pro Light" w:hAnsi="Amasis MT Pro Light" w:cs="Arial"/>
          <w:b/>
          <w:bCs/>
        </w:rPr>
        <w:t>Important notes:</w:t>
      </w:r>
    </w:p>
    <w:p w14:paraId="4F45F696" w14:textId="77777777" w:rsidR="006F79B7" w:rsidRPr="00130F1C" w:rsidRDefault="006F79B7" w:rsidP="00105832">
      <w:pPr>
        <w:pStyle w:val="ListParagraph"/>
        <w:ind w:left="990"/>
        <w:jc w:val="both"/>
        <w:rPr>
          <w:rFonts w:ascii="Amasis MT Pro Light" w:hAnsi="Amasis MT Pro Light" w:cs="Arial"/>
        </w:rPr>
      </w:pPr>
    </w:p>
    <w:p w14:paraId="0D345676" w14:textId="77777777" w:rsidR="00860803"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lastRenderedPageBreak/>
        <w:t>Bids shall be submitted in</w:t>
      </w:r>
      <w:r w:rsidR="008917DF" w:rsidRPr="00130F1C">
        <w:rPr>
          <w:rFonts w:ascii="Amasis MT Pro Light" w:hAnsi="Amasis MT Pro Light" w:cs="Arial"/>
        </w:rPr>
        <w:t xml:space="preserve"> hard copy at the location and address as described </w:t>
      </w:r>
      <w:r w:rsidR="0065690B" w:rsidRPr="00130F1C">
        <w:rPr>
          <w:rFonts w:ascii="Amasis MT Pro Light" w:hAnsi="Amasis MT Pro Light" w:cs="Arial"/>
        </w:rPr>
        <w:t>in the bidding document</w:t>
      </w:r>
      <w:r w:rsidR="008917DF" w:rsidRPr="00130F1C">
        <w:rPr>
          <w:rFonts w:ascii="Amasis MT Pro Light" w:hAnsi="Amasis MT Pro Light" w:cs="Arial"/>
        </w:rPr>
        <w:t xml:space="preserve">. </w:t>
      </w:r>
      <w:r w:rsidRPr="00130F1C">
        <w:rPr>
          <w:rFonts w:ascii="Amasis MT Pro Light" w:hAnsi="Amasis MT Pro Light" w:cs="Arial"/>
        </w:rPr>
        <w:t xml:space="preserve">Electronic submission of the bids </w:t>
      </w:r>
      <w:r w:rsidRPr="00130F1C">
        <w:rPr>
          <w:rFonts w:ascii="Amasis MT Pro Light" w:hAnsi="Amasis MT Pro Light" w:cs="Arial"/>
          <w:b/>
          <w:bCs/>
        </w:rPr>
        <w:t>will NOT</w:t>
      </w:r>
      <w:r w:rsidRPr="00130F1C">
        <w:rPr>
          <w:rFonts w:ascii="Amasis MT Pro Light" w:hAnsi="Amasis MT Pro Light" w:cs="Arial"/>
        </w:rPr>
        <w:t xml:space="preserve"> be accepted. </w:t>
      </w:r>
    </w:p>
    <w:p w14:paraId="7D6A85BE" w14:textId="1390B140" w:rsidR="008917DF"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Bidders are required to submit bids in person or courier on or before</w:t>
      </w:r>
      <w:r w:rsidR="008917DF" w:rsidRPr="00130F1C">
        <w:rPr>
          <w:rFonts w:ascii="Amasis MT Pro Light" w:hAnsi="Amasis MT Pro Light" w:cs="Arial"/>
        </w:rPr>
        <w:t xml:space="preserve"> the deadline: </w:t>
      </w:r>
      <w:r w:rsidR="00DA32A2">
        <w:rPr>
          <w:rFonts w:ascii="Amasis MT Pro Light" w:hAnsi="Amasis MT Pro Light" w:cs="Arial"/>
          <w:b/>
        </w:rPr>
        <w:t>27</w:t>
      </w:r>
      <w:r w:rsidR="008F263C" w:rsidRPr="00130F1C">
        <w:rPr>
          <w:rFonts w:ascii="Amasis MT Pro Light" w:hAnsi="Amasis MT Pro Light" w:cs="Arial"/>
          <w:b/>
        </w:rPr>
        <w:t>-</w:t>
      </w:r>
      <w:r w:rsidR="00DA32A2">
        <w:rPr>
          <w:rFonts w:ascii="Amasis MT Pro Light" w:hAnsi="Amasis MT Pro Light" w:cs="Arial"/>
          <w:b/>
        </w:rPr>
        <w:t>Jan</w:t>
      </w:r>
      <w:r w:rsidR="008F263C" w:rsidRPr="00130F1C">
        <w:rPr>
          <w:rFonts w:ascii="Amasis MT Pro Light" w:hAnsi="Amasis MT Pro Light" w:cs="Arial"/>
          <w:b/>
        </w:rPr>
        <w:t>-</w:t>
      </w:r>
      <w:r w:rsidR="008917DF" w:rsidRPr="00130F1C">
        <w:rPr>
          <w:rFonts w:ascii="Amasis MT Pro Light" w:hAnsi="Amasis MT Pro Light" w:cs="Arial"/>
          <w:b/>
        </w:rPr>
        <w:t>20</w:t>
      </w:r>
      <w:r w:rsidR="009243D6" w:rsidRPr="00130F1C">
        <w:rPr>
          <w:rFonts w:ascii="Amasis MT Pro Light" w:hAnsi="Amasis MT Pro Light" w:cs="Arial"/>
          <w:b/>
        </w:rPr>
        <w:t>2</w:t>
      </w:r>
      <w:r w:rsidR="00DA32A2">
        <w:rPr>
          <w:rFonts w:ascii="Amasis MT Pro Light" w:hAnsi="Amasis MT Pro Light" w:cs="Arial"/>
          <w:b/>
        </w:rPr>
        <w:t>5</w:t>
      </w:r>
      <w:r w:rsidR="008917DF" w:rsidRPr="00130F1C">
        <w:rPr>
          <w:rFonts w:ascii="Amasis MT Pro Light" w:hAnsi="Amasis MT Pro Light" w:cs="Arial"/>
          <w:b/>
          <w:color w:val="FF0000"/>
        </w:rPr>
        <w:t xml:space="preserve"> </w:t>
      </w:r>
      <w:r w:rsidR="008917DF" w:rsidRPr="00130F1C">
        <w:rPr>
          <w:rFonts w:ascii="Amasis MT Pro Light" w:hAnsi="Amasis MT Pro Light" w:cs="Arial"/>
          <w:b/>
        </w:rPr>
        <w:t>at 10:00 AM</w:t>
      </w:r>
      <w:r w:rsidR="00553B86">
        <w:rPr>
          <w:rFonts w:ascii="Amasis MT Pro Light" w:hAnsi="Amasis MT Pro Light" w:cs="Arial"/>
          <w:b/>
        </w:rPr>
        <w:t>.</w:t>
      </w:r>
      <w:r w:rsidRPr="00130F1C">
        <w:rPr>
          <w:rFonts w:ascii="Amasis MT Pro Light" w:hAnsi="Amasis MT Pro Light" w:cs="Arial"/>
          <w:b/>
        </w:rPr>
        <w:t xml:space="preserve"> </w:t>
      </w:r>
    </w:p>
    <w:p w14:paraId="7A99D4CA" w14:textId="301AB2D8" w:rsidR="008917DF" w:rsidRPr="00130F1C" w:rsidRDefault="008917DF"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 xml:space="preserve">The </w:t>
      </w:r>
      <w:r w:rsidR="008321F9" w:rsidRPr="00130F1C">
        <w:rPr>
          <w:rFonts w:ascii="Amasis MT Pro Light" w:hAnsi="Amasis MT Pro Light" w:cs="Arial"/>
        </w:rPr>
        <w:t>bid</w:t>
      </w:r>
      <w:r w:rsidR="00371DE1" w:rsidRPr="00130F1C">
        <w:rPr>
          <w:rFonts w:ascii="Amasis MT Pro Light" w:hAnsi="Amasis MT Pro Light" w:cs="Arial"/>
        </w:rPr>
        <w:t>s</w:t>
      </w:r>
      <w:r w:rsidR="008321F9" w:rsidRPr="00130F1C">
        <w:rPr>
          <w:rFonts w:ascii="Amasis MT Pro Light" w:hAnsi="Amasis MT Pro Light" w:cs="Arial"/>
        </w:rPr>
        <w:t xml:space="preserve"> will be opened on</w:t>
      </w:r>
      <w:r w:rsidR="00FF7B2E" w:rsidRPr="00130F1C">
        <w:rPr>
          <w:rFonts w:ascii="Amasis MT Pro Light" w:hAnsi="Amasis MT Pro Light" w:cs="Arial"/>
        </w:rPr>
        <w:t xml:space="preserve"> the</w:t>
      </w:r>
      <w:r w:rsidR="008321F9" w:rsidRPr="00130F1C">
        <w:rPr>
          <w:rFonts w:ascii="Amasis MT Pro Light" w:hAnsi="Amasis MT Pro Light" w:cs="Arial"/>
        </w:rPr>
        <w:t xml:space="preserve"> </w:t>
      </w:r>
      <w:r w:rsidR="00DA32A2">
        <w:rPr>
          <w:rFonts w:ascii="Amasis MT Pro Light" w:hAnsi="Amasis MT Pro Light" w:cs="Arial"/>
          <w:b/>
        </w:rPr>
        <w:t>27</w:t>
      </w:r>
      <w:r w:rsidR="008F263C" w:rsidRPr="00130F1C">
        <w:rPr>
          <w:rFonts w:ascii="Amasis MT Pro Light" w:hAnsi="Amasis MT Pro Light" w:cs="Arial"/>
          <w:b/>
        </w:rPr>
        <w:t>-</w:t>
      </w:r>
      <w:r w:rsidR="00DA32A2">
        <w:rPr>
          <w:rFonts w:ascii="Amasis MT Pro Light" w:hAnsi="Amasis MT Pro Light" w:cs="Arial"/>
          <w:b/>
        </w:rPr>
        <w:t>Jan</w:t>
      </w:r>
      <w:r w:rsidR="008F263C" w:rsidRPr="00130F1C">
        <w:rPr>
          <w:rFonts w:ascii="Amasis MT Pro Light" w:hAnsi="Amasis MT Pro Light" w:cs="Arial"/>
          <w:b/>
        </w:rPr>
        <w:t>-202</w:t>
      </w:r>
      <w:r w:rsidR="00DA32A2">
        <w:rPr>
          <w:rFonts w:ascii="Amasis MT Pro Light" w:hAnsi="Amasis MT Pro Light" w:cs="Arial"/>
          <w:b/>
        </w:rPr>
        <w:t>5</w:t>
      </w:r>
      <w:r w:rsidR="008F263C" w:rsidRPr="00130F1C">
        <w:rPr>
          <w:rFonts w:ascii="Amasis MT Pro Light" w:hAnsi="Amasis MT Pro Light" w:cs="Arial"/>
          <w:b/>
          <w:color w:val="FF0000"/>
        </w:rPr>
        <w:t xml:space="preserve"> </w:t>
      </w:r>
      <w:r w:rsidR="008F263C" w:rsidRPr="00130F1C">
        <w:rPr>
          <w:rFonts w:ascii="Amasis MT Pro Light" w:hAnsi="Amasis MT Pro Light" w:cs="Arial"/>
          <w:b/>
        </w:rPr>
        <w:t>at 10:00 AM</w:t>
      </w:r>
      <w:r w:rsidR="008F263C" w:rsidRPr="00130F1C">
        <w:rPr>
          <w:rFonts w:ascii="Amasis MT Pro Light" w:hAnsi="Amasis MT Pro Light" w:cs="Arial"/>
        </w:rPr>
        <w:t xml:space="preserve"> </w:t>
      </w:r>
      <w:r w:rsidRPr="00130F1C">
        <w:rPr>
          <w:rFonts w:ascii="Amasis MT Pro Light" w:hAnsi="Amasis MT Pro Light" w:cs="Arial"/>
        </w:rPr>
        <w:t>in the presence of the bidders’ designated representatives who chooses to attend.</w:t>
      </w:r>
    </w:p>
    <w:p w14:paraId="35A3E543" w14:textId="4443F00B" w:rsidR="008917DF" w:rsidRPr="00130F1C" w:rsidRDefault="00CC1A06"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The Client will NOT consider any bids that arrive after the deadline for submission of bids. Any bids received after the deadline for submission of bids shall be declared late, rejected, and returned unopened to the bidder.</w:t>
      </w:r>
      <w:r w:rsidR="005E7BDD" w:rsidRPr="00130F1C">
        <w:rPr>
          <w:rFonts w:ascii="Amasis MT Pro Light" w:hAnsi="Amasis MT Pro Light" w:cs="Arial"/>
        </w:rPr>
        <w:t xml:space="preserve"> </w:t>
      </w:r>
    </w:p>
    <w:p w14:paraId="4FEB43AB" w14:textId="3CB56F0E" w:rsidR="008917DF"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The Client will not be responsible for any cost or expenses incurred by Bidders in connection with the preparation and delivery of their bids.</w:t>
      </w:r>
    </w:p>
    <w:p w14:paraId="7EC09819" w14:textId="77777777" w:rsidR="000B3715" w:rsidRDefault="000B3715" w:rsidP="000B3715">
      <w:pPr>
        <w:jc w:val="both"/>
        <w:rPr>
          <w:rFonts w:ascii="Amasis MT Pro Light" w:hAnsi="Amasis MT Pro Light" w:cs="Arial"/>
        </w:rPr>
      </w:pPr>
    </w:p>
    <w:p w14:paraId="4C7E03B2" w14:textId="7DF25C7E" w:rsidR="00913C3D" w:rsidRPr="00583EEF" w:rsidRDefault="00913C3D" w:rsidP="00913C3D">
      <w:pPr>
        <w:bidi/>
        <w:spacing w:line="276" w:lineRule="auto"/>
      </w:pPr>
      <w:r>
        <w:rPr>
          <w:rFonts w:ascii="Amasis MT Pro Light" w:hAnsi="Amasis MT Pro Light" w:cs="Arial" w:hint="cs"/>
          <w:rtl/>
          <w:lang w:bidi="fa-IR"/>
        </w:rPr>
        <w:t xml:space="preserve">نوت: </w:t>
      </w:r>
      <w:r>
        <w:rPr>
          <w:rFonts w:hint="cs"/>
          <w:rtl/>
        </w:rPr>
        <w:t xml:space="preserve"> </w:t>
      </w:r>
      <w:r w:rsidRPr="008B5CA9">
        <w:rPr>
          <w:rFonts w:hint="cs"/>
          <w:rtl/>
          <w:lang w:bidi="fa-IR"/>
        </w:rPr>
        <w:t xml:space="preserve">شرکت های </w:t>
      </w:r>
      <w:r>
        <w:rPr>
          <w:rFonts w:hint="cs"/>
          <w:rtl/>
          <w:lang w:bidi="fa-IR"/>
        </w:rPr>
        <w:t>واجد شرایط</w:t>
      </w:r>
      <w:r w:rsidRPr="008B5CA9">
        <w:rPr>
          <w:rFonts w:hint="cs"/>
          <w:rtl/>
          <w:lang w:bidi="fa-IR"/>
        </w:rPr>
        <w:t xml:space="preserve"> میتوانند</w:t>
      </w:r>
      <w:r>
        <w:rPr>
          <w:rFonts w:hint="cs"/>
          <w:rtl/>
          <w:lang w:bidi="fa-IR"/>
        </w:rPr>
        <w:t xml:space="preserve"> با درخواست رسمی همرای تاپه،</w:t>
      </w:r>
      <w:r w:rsidRPr="008B5CA9">
        <w:rPr>
          <w:rFonts w:hint="cs"/>
          <w:rtl/>
          <w:lang w:bidi="fa-IR"/>
        </w:rPr>
        <w:t xml:space="preserve"> اسناد داوطلبی (شرطنامه) را که به ز</w:t>
      </w:r>
      <w:r>
        <w:rPr>
          <w:rFonts w:hint="cs"/>
          <w:rtl/>
          <w:lang w:bidi="fa-IR"/>
        </w:rPr>
        <w:t>با</w:t>
      </w:r>
      <w:r w:rsidRPr="008B5CA9">
        <w:rPr>
          <w:rFonts w:hint="cs"/>
          <w:rtl/>
          <w:lang w:bidi="fa-IR"/>
        </w:rPr>
        <w:t>ن انگلیسی می باشد از آدرس ذیل ذریعه  فلش</w:t>
      </w:r>
      <w:r w:rsidRPr="008B5CA9">
        <w:rPr>
          <w:lang w:bidi="fa-IR"/>
        </w:rPr>
        <w:t>(Flash-d</w:t>
      </w:r>
      <w:r>
        <w:rPr>
          <w:lang w:bidi="fa-IR"/>
        </w:rPr>
        <w:t>rive</w:t>
      </w:r>
      <w:r w:rsidRPr="008B5CA9">
        <w:rPr>
          <w:lang w:bidi="fa-IR"/>
        </w:rPr>
        <w:t>)</w:t>
      </w:r>
      <w:r w:rsidRPr="008B5CA9">
        <w:rPr>
          <w:rFonts w:hint="cs"/>
          <w:rtl/>
          <w:lang w:bidi="fa-IR"/>
        </w:rPr>
        <w:t xml:space="preserve"> </w:t>
      </w:r>
      <w:r>
        <w:rPr>
          <w:rFonts w:hint="cs"/>
          <w:rtl/>
          <w:lang w:bidi="fa-IR"/>
        </w:rPr>
        <w:t xml:space="preserve">درجریان روزهای رسمی (یکشنبه الی پنجشنبه) از ساعت </w:t>
      </w:r>
      <w:r>
        <w:rPr>
          <w:lang w:bidi="fa-IR"/>
        </w:rPr>
        <w:t>8:00</w:t>
      </w:r>
      <w:r>
        <w:rPr>
          <w:rFonts w:hint="cs"/>
          <w:rtl/>
          <w:lang w:bidi="fa-IR"/>
        </w:rPr>
        <w:t xml:space="preserve"> صبح الی </w:t>
      </w:r>
      <w:r>
        <w:rPr>
          <w:lang w:bidi="fa-IR"/>
        </w:rPr>
        <w:t>4:00</w:t>
      </w:r>
      <w:r>
        <w:rPr>
          <w:rFonts w:hint="cs"/>
          <w:rtl/>
          <w:lang w:bidi="fa-IR"/>
        </w:rPr>
        <w:t xml:space="preserve"> عصربه </w:t>
      </w:r>
      <w:r w:rsidRPr="008B5CA9">
        <w:rPr>
          <w:rFonts w:hint="cs"/>
          <w:rtl/>
          <w:lang w:bidi="fa-IR"/>
        </w:rPr>
        <w:t>صورت رایگان بدست آورند</w:t>
      </w:r>
    </w:p>
    <w:p w14:paraId="4ADC35CF" w14:textId="1960AB25" w:rsidR="000B3715" w:rsidRDefault="000B3715" w:rsidP="00913C3D">
      <w:pPr>
        <w:jc w:val="right"/>
        <w:rPr>
          <w:rFonts w:ascii="Amasis MT Pro Light" w:hAnsi="Amasis MT Pro Light" w:cs="Arial"/>
          <w:rtl/>
          <w:lang w:bidi="fa-IR"/>
        </w:rPr>
      </w:pPr>
    </w:p>
    <w:p w14:paraId="7C24A1AE" w14:textId="77777777" w:rsidR="000B3715" w:rsidRPr="000B3715" w:rsidRDefault="000B3715" w:rsidP="000B3715">
      <w:pPr>
        <w:jc w:val="both"/>
        <w:rPr>
          <w:rFonts w:ascii="Amasis MT Pro Light" w:hAnsi="Amasis MT Pro Light" w:cs="Arial"/>
        </w:rPr>
      </w:pPr>
    </w:p>
    <w:sectPr w:rsidR="000B3715" w:rsidRPr="000B3715" w:rsidSect="00130F1C">
      <w:pgSz w:w="11900" w:h="16840"/>
      <w:pgMar w:top="450" w:right="1010" w:bottom="540" w:left="117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7849F" w14:textId="77777777" w:rsidR="00B1056F" w:rsidRDefault="00B1056F" w:rsidP="0034533D">
      <w:r>
        <w:separator/>
      </w:r>
    </w:p>
  </w:endnote>
  <w:endnote w:type="continuationSeparator" w:id="0">
    <w:p w14:paraId="37C25932" w14:textId="77777777" w:rsidR="00B1056F" w:rsidRDefault="00B1056F" w:rsidP="0034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masis MT Pro Light">
    <w:charset w:val="00"/>
    <w:family w:val="roman"/>
    <w:pitch w:val="variable"/>
    <w:sig w:usb0="A00000AF" w:usb1="4000205B" w:usb2="00000000" w:usb3="00000000" w:csb0="00000093" w:csb1="00000000"/>
  </w:font>
  <w:font w:name="Helvetica Neue Light">
    <w:altName w:val="Arial Nova Light"/>
    <w:charset w:val="00"/>
    <w:family w:val="auto"/>
    <w:pitch w:val="variable"/>
    <w:sig w:usb0="A00002FF" w:usb1="5000205B" w:usb2="00000002" w:usb3="00000000" w:csb0="0000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8F517" w14:textId="77777777" w:rsidR="00B1056F" w:rsidRDefault="00B1056F" w:rsidP="0034533D">
      <w:r>
        <w:separator/>
      </w:r>
    </w:p>
  </w:footnote>
  <w:footnote w:type="continuationSeparator" w:id="0">
    <w:p w14:paraId="560CA2F5" w14:textId="77777777" w:rsidR="00B1056F" w:rsidRDefault="00B1056F" w:rsidP="00345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2F63"/>
    <w:multiLevelType w:val="hybridMultilevel"/>
    <w:tmpl w:val="26F4BD82"/>
    <w:lvl w:ilvl="0" w:tplc="EC72887A">
      <w:start w:val="1"/>
      <w:numFmt w:val="lowerLetter"/>
      <w:lvlText w:val="%1)"/>
      <w:lvlJc w:val="righ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C24726A"/>
    <w:multiLevelType w:val="hybridMultilevel"/>
    <w:tmpl w:val="56742582"/>
    <w:lvl w:ilvl="0" w:tplc="2A58C676">
      <w:start w:val="7"/>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15:restartNumberingAfterBreak="0">
    <w:nsid w:val="0FFB3863"/>
    <w:multiLevelType w:val="hybridMultilevel"/>
    <w:tmpl w:val="DDE2E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3B5D5E"/>
    <w:multiLevelType w:val="hybridMultilevel"/>
    <w:tmpl w:val="404E81D0"/>
    <w:lvl w:ilvl="0" w:tplc="30ACA18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B1F75"/>
    <w:multiLevelType w:val="hybridMultilevel"/>
    <w:tmpl w:val="EC561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7E0633"/>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A0662D"/>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3BA17B1"/>
    <w:multiLevelType w:val="hybridMultilevel"/>
    <w:tmpl w:val="3BEE6696"/>
    <w:lvl w:ilvl="0" w:tplc="04090001">
      <w:start w:val="1"/>
      <w:numFmt w:val="bullet"/>
      <w:pStyle w:val="BodyTex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205D49"/>
    <w:multiLevelType w:val="hybridMultilevel"/>
    <w:tmpl w:val="F092C8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FE506E"/>
    <w:multiLevelType w:val="hybridMultilevel"/>
    <w:tmpl w:val="8806F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9E27E9"/>
    <w:multiLevelType w:val="hybridMultilevel"/>
    <w:tmpl w:val="53E00FE2"/>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CD30CA"/>
    <w:multiLevelType w:val="hybridMultilevel"/>
    <w:tmpl w:val="EC7E4D86"/>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827D06"/>
    <w:multiLevelType w:val="multilevel"/>
    <w:tmpl w:val="1EB2F98A"/>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1974087">
    <w:abstractNumId w:val="4"/>
  </w:num>
  <w:num w:numId="2" w16cid:durableId="1571647725">
    <w:abstractNumId w:val="10"/>
  </w:num>
  <w:num w:numId="3" w16cid:durableId="1443113152">
    <w:abstractNumId w:val="12"/>
  </w:num>
  <w:num w:numId="4" w16cid:durableId="2089694729">
    <w:abstractNumId w:val="9"/>
  </w:num>
  <w:num w:numId="5" w16cid:durableId="333185739">
    <w:abstractNumId w:val="3"/>
  </w:num>
  <w:num w:numId="6" w16cid:durableId="1308629341">
    <w:abstractNumId w:val="2"/>
  </w:num>
  <w:num w:numId="7" w16cid:durableId="1466508064">
    <w:abstractNumId w:val="7"/>
  </w:num>
  <w:num w:numId="8" w16cid:durableId="450706733">
    <w:abstractNumId w:val="11"/>
  </w:num>
  <w:num w:numId="9" w16cid:durableId="371273519">
    <w:abstractNumId w:val="0"/>
  </w:num>
  <w:num w:numId="10" w16cid:durableId="1290358147">
    <w:abstractNumId w:val="1"/>
  </w:num>
  <w:num w:numId="11" w16cid:durableId="1093206690">
    <w:abstractNumId w:val="8"/>
  </w:num>
  <w:num w:numId="12" w16cid:durableId="1918705934">
    <w:abstractNumId w:val="6"/>
  </w:num>
  <w:num w:numId="13" w16cid:durableId="11859458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33D"/>
    <w:rsid w:val="000018AD"/>
    <w:rsid w:val="00007DB8"/>
    <w:rsid w:val="00026759"/>
    <w:rsid w:val="00035729"/>
    <w:rsid w:val="000528A4"/>
    <w:rsid w:val="00060A06"/>
    <w:rsid w:val="00076A71"/>
    <w:rsid w:val="00087972"/>
    <w:rsid w:val="000B3715"/>
    <w:rsid w:val="000F1CB9"/>
    <w:rsid w:val="00105832"/>
    <w:rsid w:val="00114907"/>
    <w:rsid w:val="00127B02"/>
    <w:rsid w:val="00130F1C"/>
    <w:rsid w:val="00172C67"/>
    <w:rsid w:val="001801A1"/>
    <w:rsid w:val="00187902"/>
    <w:rsid w:val="00190D28"/>
    <w:rsid w:val="001973F4"/>
    <w:rsid w:val="001B7BF4"/>
    <w:rsid w:val="001F2F9B"/>
    <w:rsid w:val="00221FFC"/>
    <w:rsid w:val="00255134"/>
    <w:rsid w:val="002D5A25"/>
    <w:rsid w:val="002E709A"/>
    <w:rsid w:val="002F78E0"/>
    <w:rsid w:val="00306EF1"/>
    <w:rsid w:val="00322BBB"/>
    <w:rsid w:val="00323685"/>
    <w:rsid w:val="0034533D"/>
    <w:rsid w:val="00346FED"/>
    <w:rsid w:val="00371DE1"/>
    <w:rsid w:val="003C2342"/>
    <w:rsid w:val="003C2AF7"/>
    <w:rsid w:val="003D5572"/>
    <w:rsid w:val="00405A38"/>
    <w:rsid w:val="00414353"/>
    <w:rsid w:val="00435FFF"/>
    <w:rsid w:val="004477C4"/>
    <w:rsid w:val="004704E7"/>
    <w:rsid w:val="004731E0"/>
    <w:rsid w:val="004837B0"/>
    <w:rsid w:val="004840BE"/>
    <w:rsid w:val="004C4E7E"/>
    <w:rsid w:val="00507F04"/>
    <w:rsid w:val="00512341"/>
    <w:rsid w:val="00512465"/>
    <w:rsid w:val="00516A23"/>
    <w:rsid w:val="00521960"/>
    <w:rsid w:val="00553B86"/>
    <w:rsid w:val="00565B8A"/>
    <w:rsid w:val="00567D3E"/>
    <w:rsid w:val="005726FD"/>
    <w:rsid w:val="00582F5F"/>
    <w:rsid w:val="00590DE9"/>
    <w:rsid w:val="005964BD"/>
    <w:rsid w:val="005B17C2"/>
    <w:rsid w:val="005E7BDD"/>
    <w:rsid w:val="00615B9B"/>
    <w:rsid w:val="00630A6D"/>
    <w:rsid w:val="00635DFC"/>
    <w:rsid w:val="006424EE"/>
    <w:rsid w:val="00654F5E"/>
    <w:rsid w:val="006556B8"/>
    <w:rsid w:val="0065690B"/>
    <w:rsid w:val="00663B80"/>
    <w:rsid w:val="0067095A"/>
    <w:rsid w:val="00670DF3"/>
    <w:rsid w:val="006777A5"/>
    <w:rsid w:val="006A34C6"/>
    <w:rsid w:val="006C1888"/>
    <w:rsid w:val="006C4F8C"/>
    <w:rsid w:val="006C6014"/>
    <w:rsid w:val="006D3AE3"/>
    <w:rsid w:val="006D5659"/>
    <w:rsid w:val="006F5BEC"/>
    <w:rsid w:val="006F73EC"/>
    <w:rsid w:val="006F79B7"/>
    <w:rsid w:val="0073255E"/>
    <w:rsid w:val="00760698"/>
    <w:rsid w:val="007B123A"/>
    <w:rsid w:val="007B77FA"/>
    <w:rsid w:val="007D715F"/>
    <w:rsid w:val="007E76D5"/>
    <w:rsid w:val="007F2249"/>
    <w:rsid w:val="0080353B"/>
    <w:rsid w:val="00803C2F"/>
    <w:rsid w:val="00815B24"/>
    <w:rsid w:val="00831174"/>
    <w:rsid w:val="008321F9"/>
    <w:rsid w:val="00840158"/>
    <w:rsid w:val="00841467"/>
    <w:rsid w:val="00860803"/>
    <w:rsid w:val="00862110"/>
    <w:rsid w:val="008719CD"/>
    <w:rsid w:val="008917DF"/>
    <w:rsid w:val="008B20D5"/>
    <w:rsid w:val="008E26DB"/>
    <w:rsid w:val="008F2344"/>
    <w:rsid w:val="008F263C"/>
    <w:rsid w:val="0090147A"/>
    <w:rsid w:val="00913C3D"/>
    <w:rsid w:val="009243D6"/>
    <w:rsid w:val="00926F5E"/>
    <w:rsid w:val="00963051"/>
    <w:rsid w:val="009D4A88"/>
    <w:rsid w:val="009E52DA"/>
    <w:rsid w:val="009E762E"/>
    <w:rsid w:val="009F6C93"/>
    <w:rsid w:val="00A120D8"/>
    <w:rsid w:val="00A31C15"/>
    <w:rsid w:val="00A3545B"/>
    <w:rsid w:val="00A56008"/>
    <w:rsid w:val="00A56B91"/>
    <w:rsid w:val="00A60230"/>
    <w:rsid w:val="00A6257D"/>
    <w:rsid w:val="00A917B3"/>
    <w:rsid w:val="00A92613"/>
    <w:rsid w:val="00A94045"/>
    <w:rsid w:val="00AC2EA9"/>
    <w:rsid w:val="00AC424B"/>
    <w:rsid w:val="00AE023D"/>
    <w:rsid w:val="00B1056F"/>
    <w:rsid w:val="00B14B28"/>
    <w:rsid w:val="00B14BD7"/>
    <w:rsid w:val="00B341A3"/>
    <w:rsid w:val="00B3732D"/>
    <w:rsid w:val="00B43D1C"/>
    <w:rsid w:val="00B4596D"/>
    <w:rsid w:val="00B5261F"/>
    <w:rsid w:val="00B53323"/>
    <w:rsid w:val="00B54432"/>
    <w:rsid w:val="00B81107"/>
    <w:rsid w:val="00BA5DB3"/>
    <w:rsid w:val="00BE2AF4"/>
    <w:rsid w:val="00BF2BB9"/>
    <w:rsid w:val="00BF308C"/>
    <w:rsid w:val="00C10A57"/>
    <w:rsid w:val="00C173DA"/>
    <w:rsid w:val="00C2133D"/>
    <w:rsid w:val="00C24F7A"/>
    <w:rsid w:val="00C437C2"/>
    <w:rsid w:val="00C73B69"/>
    <w:rsid w:val="00C81E04"/>
    <w:rsid w:val="00CC1A06"/>
    <w:rsid w:val="00CC22EC"/>
    <w:rsid w:val="00CE3CA4"/>
    <w:rsid w:val="00CE6BBE"/>
    <w:rsid w:val="00CF2AD3"/>
    <w:rsid w:val="00CF49B9"/>
    <w:rsid w:val="00D11A22"/>
    <w:rsid w:val="00D13E80"/>
    <w:rsid w:val="00D53902"/>
    <w:rsid w:val="00D770BF"/>
    <w:rsid w:val="00D773C7"/>
    <w:rsid w:val="00D81132"/>
    <w:rsid w:val="00DA32A2"/>
    <w:rsid w:val="00DB08EF"/>
    <w:rsid w:val="00DB5FA8"/>
    <w:rsid w:val="00DD329D"/>
    <w:rsid w:val="00DD5DD3"/>
    <w:rsid w:val="00DE3E15"/>
    <w:rsid w:val="00DE4527"/>
    <w:rsid w:val="00DE59DF"/>
    <w:rsid w:val="00E264A4"/>
    <w:rsid w:val="00E56C8A"/>
    <w:rsid w:val="00E82DE8"/>
    <w:rsid w:val="00E91DAE"/>
    <w:rsid w:val="00E972DD"/>
    <w:rsid w:val="00E97613"/>
    <w:rsid w:val="00EA03A0"/>
    <w:rsid w:val="00EA4EDC"/>
    <w:rsid w:val="00EB5520"/>
    <w:rsid w:val="00EC0579"/>
    <w:rsid w:val="00ED1BBC"/>
    <w:rsid w:val="00EE1A27"/>
    <w:rsid w:val="00EF72D8"/>
    <w:rsid w:val="00F25678"/>
    <w:rsid w:val="00F35D5B"/>
    <w:rsid w:val="00F36844"/>
    <w:rsid w:val="00F563E7"/>
    <w:rsid w:val="00F63DF3"/>
    <w:rsid w:val="00F82FE1"/>
    <w:rsid w:val="00F8373A"/>
    <w:rsid w:val="00FC0228"/>
    <w:rsid w:val="00FC43B1"/>
    <w:rsid w:val="00FC609E"/>
    <w:rsid w:val="00FD0474"/>
    <w:rsid w:val="00FE4AFA"/>
    <w:rsid w:val="00FF6A5D"/>
    <w:rsid w:val="00FF7B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3BAAD5"/>
  <w15:docId w15:val="{FEE5578C-20EB-498D-9C2F-C305CFA1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0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5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53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533D"/>
    <w:rPr>
      <w:rFonts w:ascii="Lucida Grande" w:hAnsi="Lucida Grande" w:cs="Lucida Grande"/>
      <w:sz w:val="18"/>
      <w:szCs w:val="18"/>
    </w:rPr>
  </w:style>
  <w:style w:type="paragraph" w:styleId="Header">
    <w:name w:val="header"/>
    <w:basedOn w:val="Normal"/>
    <w:link w:val="HeaderChar"/>
    <w:uiPriority w:val="99"/>
    <w:unhideWhenUsed/>
    <w:rsid w:val="0034533D"/>
    <w:pPr>
      <w:tabs>
        <w:tab w:val="center" w:pos="4320"/>
        <w:tab w:val="right" w:pos="8640"/>
      </w:tabs>
    </w:pPr>
  </w:style>
  <w:style w:type="character" w:customStyle="1" w:styleId="HeaderChar">
    <w:name w:val="Header Char"/>
    <w:basedOn w:val="DefaultParagraphFont"/>
    <w:link w:val="Header"/>
    <w:uiPriority w:val="99"/>
    <w:rsid w:val="0034533D"/>
  </w:style>
  <w:style w:type="paragraph" w:styleId="Footer">
    <w:name w:val="footer"/>
    <w:basedOn w:val="Normal"/>
    <w:link w:val="FooterChar"/>
    <w:unhideWhenUsed/>
    <w:rsid w:val="0034533D"/>
    <w:pPr>
      <w:tabs>
        <w:tab w:val="center" w:pos="4320"/>
        <w:tab w:val="right" w:pos="8640"/>
      </w:tabs>
    </w:pPr>
  </w:style>
  <w:style w:type="character" w:customStyle="1" w:styleId="FooterChar">
    <w:name w:val="Footer Char"/>
    <w:basedOn w:val="DefaultParagraphFont"/>
    <w:link w:val="Footer"/>
    <w:uiPriority w:val="99"/>
    <w:rsid w:val="0034533D"/>
  </w:style>
  <w:style w:type="paragraph" w:styleId="ListParagraph">
    <w:name w:val="List Paragraph"/>
    <w:basedOn w:val="Normal"/>
    <w:uiPriority w:val="34"/>
    <w:qFormat/>
    <w:rsid w:val="008917DF"/>
    <w:pPr>
      <w:ind w:left="720"/>
      <w:contextualSpacing/>
    </w:pPr>
  </w:style>
  <w:style w:type="character" w:styleId="Hyperlink">
    <w:name w:val="Hyperlink"/>
    <w:basedOn w:val="DefaultParagraphFont"/>
    <w:uiPriority w:val="99"/>
    <w:unhideWhenUsed/>
    <w:rsid w:val="008321F9"/>
    <w:rPr>
      <w:color w:val="0000FF" w:themeColor="hyperlink"/>
      <w:u w:val="single"/>
    </w:rPr>
  </w:style>
  <w:style w:type="character" w:styleId="FollowedHyperlink">
    <w:name w:val="FollowedHyperlink"/>
    <w:basedOn w:val="DefaultParagraphFont"/>
    <w:uiPriority w:val="99"/>
    <w:semiHidden/>
    <w:unhideWhenUsed/>
    <w:rsid w:val="008321F9"/>
    <w:rPr>
      <w:color w:val="800080" w:themeColor="followedHyperlink"/>
      <w:u w:val="single"/>
    </w:rPr>
  </w:style>
  <w:style w:type="character" w:styleId="CommentReference">
    <w:name w:val="annotation reference"/>
    <w:basedOn w:val="DefaultParagraphFont"/>
    <w:uiPriority w:val="99"/>
    <w:semiHidden/>
    <w:unhideWhenUsed/>
    <w:rsid w:val="00C73B69"/>
    <w:rPr>
      <w:sz w:val="16"/>
      <w:szCs w:val="16"/>
    </w:rPr>
  </w:style>
  <w:style w:type="paragraph" w:styleId="CommentText">
    <w:name w:val="annotation text"/>
    <w:basedOn w:val="Normal"/>
    <w:link w:val="CommentTextChar"/>
    <w:uiPriority w:val="99"/>
    <w:semiHidden/>
    <w:unhideWhenUsed/>
    <w:rsid w:val="00C73B69"/>
    <w:rPr>
      <w:sz w:val="20"/>
      <w:szCs w:val="20"/>
    </w:rPr>
  </w:style>
  <w:style w:type="character" w:customStyle="1" w:styleId="CommentTextChar">
    <w:name w:val="Comment Text Char"/>
    <w:basedOn w:val="DefaultParagraphFont"/>
    <w:link w:val="CommentText"/>
    <w:uiPriority w:val="99"/>
    <w:semiHidden/>
    <w:rsid w:val="00C73B69"/>
    <w:rPr>
      <w:sz w:val="20"/>
      <w:szCs w:val="20"/>
    </w:rPr>
  </w:style>
  <w:style w:type="paragraph" w:styleId="CommentSubject">
    <w:name w:val="annotation subject"/>
    <w:basedOn w:val="CommentText"/>
    <w:next w:val="CommentText"/>
    <w:link w:val="CommentSubjectChar"/>
    <w:uiPriority w:val="99"/>
    <w:semiHidden/>
    <w:unhideWhenUsed/>
    <w:rsid w:val="00C73B69"/>
    <w:rPr>
      <w:b/>
      <w:bCs/>
    </w:rPr>
  </w:style>
  <w:style w:type="character" w:customStyle="1" w:styleId="CommentSubjectChar">
    <w:name w:val="Comment Subject Char"/>
    <w:basedOn w:val="CommentTextChar"/>
    <w:link w:val="CommentSubject"/>
    <w:uiPriority w:val="99"/>
    <w:semiHidden/>
    <w:rsid w:val="00C73B69"/>
    <w:rPr>
      <w:b/>
      <w:bCs/>
      <w:sz w:val="20"/>
      <w:szCs w:val="20"/>
    </w:rPr>
  </w:style>
  <w:style w:type="paragraph" w:styleId="Revision">
    <w:name w:val="Revision"/>
    <w:hidden/>
    <w:uiPriority w:val="99"/>
    <w:semiHidden/>
    <w:rsid w:val="00DE4527"/>
  </w:style>
  <w:style w:type="paragraph" w:styleId="Caption">
    <w:name w:val="caption"/>
    <w:basedOn w:val="Normal"/>
    <w:next w:val="Normal"/>
    <w:uiPriority w:val="35"/>
    <w:unhideWhenUsed/>
    <w:qFormat/>
    <w:rsid w:val="00BE2AF4"/>
    <w:pPr>
      <w:spacing w:after="200"/>
    </w:pPr>
    <w:rPr>
      <w:i/>
      <w:iCs/>
      <w:color w:val="1F497D" w:themeColor="text2"/>
      <w:sz w:val="18"/>
      <w:szCs w:val="18"/>
    </w:rPr>
  </w:style>
  <w:style w:type="paragraph" w:customStyle="1" w:styleId="msolistparagraph0">
    <w:name w:val="msolistparagraph"/>
    <w:basedOn w:val="Normal"/>
    <w:uiPriority w:val="99"/>
    <w:rsid w:val="00860803"/>
    <w:pPr>
      <w:spacing w:after="200" w:line="276" w:lineRule="auto"/>
      <w:ind w:left="720"/>
    </w:pPr>
    <w:rPr>
      <w:rFonts w:ascii="Calibri" w:eastAsia="Times New Roman" w:hAnsi="Calibri" w:cs="Arial"/>
      <w:sz w:val="22"/>
      <w:szCs w:val="22"/>
    </w:rPr>
  </w:style>
  <w:style w:type="paragraph" w:customStyle="1" w:styleId="BankNormal">
    <w:name w:val="BankNormal"/>
    <w:basedOn w:val="Normal"/>
    <w:link w:val="BankNormalChar"/>
    <w:rsid w:val="00B81107"/>
    <w:pPr>
      <w:spacing w:after="240"/>
    </w:pPr>
    <w:rPr>
      <w:rFonts w:ascii="Times New Roman" w:eastAsia="Times New Roman" w:hAnsi="Times New Roman" w:cs="Times New Roman"/>
      <w:szCs w:val="20"/>
      <w:lang w:val="x-none" w:eastAsia="x-none"/>
    </w:rPr>
  </w:style>
  <w:style w:type="character" w:customStyle="1" w:styleId="BankNormalChar">
    <w:name w:val="BankNormal Char"/>
    <w:link w:val="BankNormal"/>
    <w:rsid w:val="00B81107"/>
    <w:rPr>
      <w:rFonts w:ascii="Times New Roman" w:eastAsia="Times New Roman" w:hAnsi="Times New Roman" w:cs="Times New Roman"/>
      <w:szCs w:val="20"/>
      <w:lang w:val="x-none" w:eastAsia="x-none"/>
    </w:rPr>
  </w:style>
  <w:style w:type="paragraph" w:styleId="BodyText2">
    <w:name w:val="Body Text 2"/>
    <w:basedOn w:val="Normal"/>
    <w:link w:val="BodyText2Char"/>
    <w:rsid w:val="00B81107"/>
    <w:pPr>
      <w:numPr>
        <w:numId w:val="7"/>
      </w:numPr>
      <w:spacing w:before="120" w:after="120"/>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B81107"/>
    <w:rPr>
      <w:rFonts w:ascii="Times New Roman" w:eastAsia="Times New Roman" w:hAnsi="Times New Roman" w:cs="Times New Roman"/>
      <w:b/>
      <w:sz w:val="28"/>
      <w:szCs w:val="20"/>
    </w:rPr>
  </w:style>
  <w:style w:type="character" w:styleId="UnresolvedMention">
    <w:name w:val="Unresolved Mention"/>
    <w:basedOn w:val="DefaultParagraphFont"/>
    <w:uiPriority w:val="99"/>
    <w:rsid w:val="008F2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414476">
      <w:bodyDiv w:val="1"/>
      <w:marLeft w:val="0"/>
      <w:marRight w:val="0"/>
      <w:marTop w:val="0"/>
      <w:marBottom w:val="0"/>
      <w:divBdr>
        <w:top w:val="none" w:sz="0" w:space="0" w:color="auto"/>
        <w:left w:val="none" w:sz="0" w:space="0" w:color="auto"/>
        <w:bottom w:val="none" w:sz="0" w:space="0" w:color="auto"/>
        <w:right w:val="none" w:sz="0" w:space="0" w:color="auto"/>
      </w:divBdr>
    </w:div>
    <w:div w:id="1500390136">
      <w:bodyDiv w:val="1"/>
      <w:marLeft w:val="0"/>
      <w:marRight w:val="0"/>
      <w:marTop w:val="0"/>
      <w:marBottom w:val="0"/>
      <w:divBdr>
        <w:top w:val="none" w:sz="0" w:space="0" w:color="auto"/>
        <w:left w:val="none" w:sz="0" w:space="0" w:color="auto"/>
        <w:bottom w:val="none" w:sz="0" w:space="0" w:color="auto"/>
        <w:right w:val="none" w:sz="0" w:space="0" w:color="auto"/>
      </w:divBdr>
    </w:div>
    <w:div w:id="168003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een.zarif@akd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E7493-DE7E-D540-BF6F-D931C582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767</Words>
  <Characters>4373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Dulay</dc:creator>
  <cp:lastModifiedBy>Alimohammad Joyan</cp:lastModifiedBy>
  <cp:revision>24</cp:revision>
  <cp:lastPrinted>2024-10-29T11:01:00Z</cp:lastPrinted>
  <dcterms:created xsi:type="dcterms:W3CDTF">2024-10-06T10:22:00Z</dcterms:created>
  <dcterms:modified xsi:type="dcterms:W3CDTF">2025-01-05T05:06:00Z</dcterms:modified>
</cp:coreProperties>
</file>