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2A052747"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w:t>
      </w:r>
      <w:r w:rsidR="00D509E0">
        <w:rPr>
          <w:rFonts w:cstheme="minorHAnsi"/>
          <w:b/>
          <w:bCs/>
        </w:rPr>
        <w:t>041</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63841B8A" w:rsidR="00361EB5"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5E215B2B" w14:textId="77777777" w:rsidR="006B63E9" w:rsidRPr="00636B24" w:rsidRDefault="006B63E9" w:rsidP="00636B24">
      <w:pPr>
        <w:spacing w:after="120" w:line="276" w:lineRule="auto"/>
        <w:jc w:val="center"/>
        <w:rPr>
          <w:rFonts w:cstheme="minorHAnsi"/>
          <w:b/>
          <w:bCs/>
          <w:color w:val="000000" w:themeColor="text1"/>
        </w:rPr>
      </w:pPr>
    </w:p>
    <w:p w14:paraId="635CF839" w14:textId="1BAA2725" w:rsidR="00CC3022" w:rsidRDefault="00D509E0" w:rsidP="001A414B">
      <w:pPr>
        <w:spacing w:after="120" w:line="276" w:lineRule="auto"/>
        <w:jc w:val="center"/>
        <w:rPr>
          <w:rFonts w:cstheme="minorHAnsi"/>
          <w:color w:val="000000" w:themeColor="text1"/>
        </w:rPr>
      </w:pPr>
      <w:r w:rsidRPr="00D509E0">
        <w:rPr>
          <w:rFonts w:cstheme="minorHAnsi"/>
          <w:b/>
          <w:bCs/>
          <w:color w:val="000000" w:themeColor="text1"/>
        </w:rPr>
        <w:t>Supply and Transportation of Winterization Materials for Farah Province</w:t>
      </w:r>
    </w:p>
    <w:p w14:paraId="5ED9C2CA" w14:textId="5C09A3E1" w:rsidR="00E75086" w:rsidRDefault="00E75086" w:rsidP="001A414B">
      <w:pPr>
        <w:spacing w:after="120" w:line="276" w:lineRule="auto"/>
        <w:jc w:val="center"/>
        <w:rPr>
          <w:rFonts w:cstheme="minorHAnsi"/>
          <w:color w:val="000000" w:themeColor="text1"/>
        </w:rPr>
      </w:pPr>
    </w:p>
    <w:p w14:paraId="78E0CF78" w14:textId="77777777" w:rsidR="006B63E9" w:rsidRPr="00FD26D7" w:rsidRDefault="006B63E9" w:rsidP="001A414B">
      <w:pPr>
        <w:spacing w:after="120" w:line="276" w:lineRule="auto"/>
        <w:jc w:val="center"/>
        <w:rPr>
          <w:rFonts w:cstheme="minorHAnsi"/>
          <w:color w:val="000000" w:themeColor="text1"/>
        </w:rPr>
      </w:pPr>
    </w:p>
    <w:p w14:paraId="00AB96B3" w14:textId="6C75DCE2"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D509E0">
        <w:rPr>
          <w:rFonts w:cstheme="minorHAnsi"/>
          <w:b/>
          <w:bCs/>
          <w:color w:val="000000" w:themeColor="text1"/>
        </w:rPr>
        <w:t>CBE</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0574488E" w:rsidR="00CC3022" w:rsidRDefault="00CC3022" w:rsidP="001A414B">
      <w:pPr>
        <w:spacing w:after="120" w:line="276" w:lineRule="auto"/>
        <w:jc w:val="center"/>
        <w:rPr>
          <w:rFonts w:cstheme="minorHAnsi"/>
          <w:b/>
          <w:bCs/>
          <w:color w:val="000000" w:themeColor="text1"/>
        </w:rPr>
      </w:pPr>
    </w:p>
    <w:p w14:paraId="59102934" w14:textId="77777777" w:rsidR="006B63E9" w:rsidRDefault="006B63E9"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623F273A" w:rsidR="00CC3022"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D509E0">
        <w:rPr>
          <w:rFonts w:cstheme="minorHAnsi"/>
          <w:b/>
          <w:bCs/>
          <w:color w:val="000000" w:themeColor="text1"/>
        </w:rPr>
        <w:t>25</w:t>
      </w:r>
      <w:r w:rsidR="00D509E0" w:rsidRPr="00D509E0">
        <w:rPr>
          <w:rFonts w:cstheme="minorHAnsi"/>
          <w:b/>
          <w:bCs/>
          <w:color w:val="000000" w:themeColor="text1"/>
          <w:vertAlign w:val="superscript"/>
        </w:rPr>
        <w:t>th</w:t>
      </w:r>
      <w:r w:rsidR="00D509E0">
        <w:rPr>
          <w:rFonts w:cstheme="minorHAnsi"/>
          <w:b/>
          <w:bCs/>
          <w:color w:val="000000" w:themeColor="text1"/>
        </w:rPr>
        <w:t xml:space="preserve"> Dec</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BD0D47B" w14:textId="77777777" w:rsidR="006B63E9" w:rsidRPr="00FD26D7" w:rsidRDefault="006B63E9" w:rsidP="00814E39">
      <w:pPr>
        <w:spacing w:after="120" w:line="276" w:lineRule="auto"/>
        <w:jc w:val="center"/>
        <w:rPr>
          <w:rFonts w:cstheme="minorHAnsi"/>
          <w:b/>
          <w:bCs/>
          <w:color w:val="000000" w:themeColor="text1"/>
        </w:rPr>
      </w:pPr>
    </w:p>
    <w:p w14:paraId="2DEEB923" w14:textId="0A2BAEB4"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D509E0">
        <w:rPr>
          <w:rFonts w:cstheme="minorHAnsi"/>
          <w:b/>
          <w:bCs/>
          <w:color w:val="000000" w:themeColor="text1"/>
        </w:rPr>
        <w:t>29</w:t>
      </w:r>
      <w:r w:rsidR="00D509E0" w:rsidRPr="00D509E0">
        <w:rPr>
          <w:rFonts w:cstheme="minorHAnsi"/>
          <w:b/>
          <w:bCs/>
          <w:color w:val="000000" w:themeColor="text1"/>
          <w:vertAlign w:val="superscript"/>
        </w:rPr>
        <w:t>th</w:t>
      </w:r>
      <w:r w:rsidR="00D509E0">
        <w:rPr>
          <w:rFonts w:cstheme="minorHAnsi"/>
          <w:b/>
          <w:bCs/>
          <w:color w:val="000000" w:themeColor="text1"/>
        </w:rPr>
        <w:t xml:space="preserve"> Dec</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039E06AB" w:rsidR="0074741B" w:rsidRDefault="00E75086" w:rsidP="0038716F">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24137A0F" w14:textId="77777777" w:rsidR="0038716F" w:rsidRPr="0038716F" w:rsidRDefault="0038716F" w:rsidP="0038716F">
      <w:pPr>
        <w:autoSpaceDE w:val="0"/>
        <w:autoSpaceDN w:val="0"/>
        <w:adjustRightInd w:val="0"/>
        <w:spacing w:after="120" w:line="276" w:lineRule="auto"/>
        <w:ind w:left="540"/>
        <w:jc w:val="both"/>
        <w:rPr>
          <w:rFonts w:cstheme="minorHAnsi"/>
          <w:color w:val="000000" w:themeColor="text1"/>
          <w:shd w:val="clear" w:color="auto" w:fill="FFFFFF"/>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555EDB90" w:rsidR="0074741B" w:rsidRPr="00E75086" w:rsidRDefault="000B7F9D" w:rsidP="00E75086">
      <w:pPr>
        <w:spacing w:after="120" w:line="276" w:lineRule="auto"/>
        <w:rPr>
          <w:rFonts w:cstheme="minorHAnsi"/>
          <w:color w:val="000000" w:themeColor="text1"/>
        </w:rPr>
      </w:pPr>
      <w:r>
        <w:rPr>
          <w:rFonts w:cstheme="minorHAnsi"/>
          <w:color w:val="000000" w:themeColor="text1"/>
        </w:rPr>
        <w:t>Service providers/</w:t>
      </w:r>
      <w:r w:rsidR="00D675EB">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Style w:val="TableGrid"/>
        <w:tblW w:w="10735" w:type="dxa"/>
        <w:tblInd w:w="-365" w:type="dxa"/>
        <w:tblLook w:val="04A0" w:firstRow="1" w:lastRow="0" w:firstColumn="1" w:lastColumn="0" w:noHBand="0" w:noVBand="1"/>
      </w:tblPr>
      <w:tblGrid>
        <w:gridCol w:w="766"/>
        <w:gridCol w:w="5178"/>
        <w:gridCol w:w="836"/>
        <w:gridCol w:w="1096"/>
        <w:gridCol w:w="1304"/>
        <w:gridCol w:w="1548"/>
        <w:gridCol w:w="7"/>
      </w:tblGrid>
      <w:tr w:rsidR="00D73651" w:rsidRPr="00D73651" w14:paraId="22B880AC" w14:textId="77777777" w:rsidTr="006B63E9">
        <w:trPr>
          <w:gridAfter w:val="1"/>
          <w:wAfter w:w="7" w:type="dxa"/>
          <w:trHeight w:val="701"/>
        </w:trPr>
        <w:tc>
          <w:tcPr>
            <w:tcW w:w="766" w:type="dxa"/>
            <w:noWrap/>
            <w:hideMark/>
          </w:tcPr>
          <w:p w14:paraId="587316E9" w14:textId="054C8396"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S</w:t>
            </w:r>
            <w:r w:rsidR="000B7F9D" w:rsidRPr="006B63E9">
              <w:rPr>
                <w:rFonts w:ascii="Arial" w:hAnsi="Arial" w:cs="Arial"/>
                <w:b/>
                <w:bCs/>
                <w:color w:val="000000" w:themeColor="text1"/>
                <w:sz w:val="20"/>
                <w:szCs w:val="20"/>
              </w:rPr>
              <w:t>R#</w:t>
            </w:r>
          </w:p>
        </w:tc>
        <w:tc>
          <w:tcPr>
            <w:tcW w:w="5178" w:type="dxa"/>
            <w:noWrap/>
            <w:hideMark/>
          </w:tcPr>
          <w:p w14:paraId="5242BB71"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Specification of Materials</w:t>
            </w:r>
          </w:p>
        </w:tc>
        <w:tc>
          <w:tcPr>
            <w:tcW w:w="836" w:type="dxa"/>
            <w:noWrap/>
            <w:hideMark/>
          </w:tcPr>
          <w:p w14:paraId="651DACE0"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Unit</w:t>
            </w:r>
          </w:p>
        </w:tc>
        <w:tc>
          <w:tcPr>
            <w:tcW w:w="1096" w:type="dxa"/>
            <w:noWrap/>
            <w:hideMark/>
          </w:tcPr>
          <w:p w14:paraId="3E7DEA83" w14:textId="6F26C635"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Quantity</w:t>
            </w:r>
          </w:p>
        </w:tc>
        <w:tc>
          <w:tcPr>
            <w:tcW w:w="1304" w:type="dxa"/>
            <w:noWrap/>
            <w:hideMark/>
          </w:tcPr>
          <w:p w14:paraId="7F9A74F5" w14:textId="039DEC98"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Unit Cost</w:t>
            </w:r>
            <w:r w:rsidRPr="006B63E9">
              <w:rPr>
                <w:rFonts w:ascii="Arial" w:hAnsi="Arial" w:cs="Arial"/>
                <w:b/>
                <w:bCs/>
                <w:color w:val="000000" w:themeColor="text1"/>
                <w:sz w:val="20"/>
                <w:szCs w:val="20"/>
              </w:rPr>
              <w:t xml:space="preserve"> AFN</w:t>
            </w:r>
          </w:p>
        </w:tc>
        <w:tc>
          <w:tcPr>
            <w:tcW w:w="1548" w:type="dxa"/>
            <w:noWrap/>
            <w:hideMark/>
          </w:tcPr>
          <w:p w14:paraId="6385E53F" w14:textId="7927B3C4"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Total Cost</w:t>
            </w:r>
            <w:r w:rsidRPr="006B63E9">
              <w:rPr>
                <w:rFonts w:ascii="Arial" w:hAnsi="Arial" w:cs="Arial"/>
                <w:b/>
                <w:bCs/>
                <w:color w:val="000000" w:themeColor="text1"/>
                <w:sz w:val="20"/>
                <w:szCs w:val="20"/>
              </w:rPr>
              <w:t xml:space="preserve"> AFN</w:t>
            </w:r>
          </w:p>
        </w:tc>
      </w:tr>
      <w:tr w:rsidR="00D73651" w:rsidRPr="00D73651" w14:paraId="224B4EAA" w14:textId="77777777" w:rsidTr="006B63E9">
        <w:trPr>
          <w:gridAfter w:val="1"/>
          <w:wAfter w:w="7" w:type="dxa"/>
          <w:trHeight w:val="580"/>
        </w:trPr>
        <w:tc>
          <w:tcPr>
            <w:tcW w:w="766" w:type="dxa"/>
            <w:noWrap/>
            <w:hideMark/>
          </w:tcPr>
          <w:p w14:paraId="1B2D17B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w:t>
            </w:r>
          </w:p>
        </w:tc>
        <w:tc>
          <w:tcPr>
            <w:tcW w:w="5178" w:type="dxa"/>
            <w:noWrap/>
            <w:hideMark/>
          </w:tcPr>
          <w:p w14:paraId="2BF350B3" w14:textId="713DEC19"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Wood </w:t>
            </w:r>
            <w:r w:rsidR="000B7F9D" w:rsidRPr="006B63E9">
              <w:rPr>
                <w:rFonts w:ascii="Arial" w:hAnsi="Arial" w:cs="Arial"/>
                <w:color w:val="000000" w:themeColor="text1"/>
                <w:sz w:val="20"/>
                <w:szCs w:val="20"/>
              </w:rPr>
              <w:t>Stove (</w:t>
            </w:r>
            <w:r w:rsidRPr="006B63E9">
              <w:rPr>
                <w:rFonts w:ascii="Arial" w:hAnsi="Arial" w:cs="Arial"/>
                <w:color w:val="000000" w:themeColor="text1"/>
                <w:sz w:val="20"/>
                <w:szCs w:val="20"/>
              </w:rPr>
              <w:t>120</w:t>
            </w:r>
            <w:r w:rsidR="000B7F9D" w:rsidRPr="006B63E9">
              <w:rPr>
                <w:rFonts w:ascii="Arial" w:hAnsi="Arial" w:cs="Arial"/>
                <w:color w:val="000000" w:themeColor="text1"/>
                <w:sz w:val="20"/>
                <w:szCs w:val="20"/>
              </w:rPr>
              <w:t>), from</w:t>
            </w:r>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abdar</w:t>
            </w:r>
            <w:proofErr w:type="spellEnd"/>
            <w:r w:rsidRPr="006B63E9">
              <w:rPr>
                <w:rFonts w:ascii="Arial" w:hAnsi="Arial" w:cs="Arial"/>
                <w:color w:val="000000" w:themeColor="text1"/>
                <w:sz w:val="20"/>
                <w:szCs w:val="20"/>
              </w:rPr>
              <w:t xml:space="preserve"> (0.5) iron sheet, stove burner (1 mm</w:t>
            </w:r>
            <w:proofErr w:type="gramStart"/>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طول</w:t>
            </w:r>
            <w:proofErr w:type="spellEnd"/>
            <w:r w:rsidRPr="006B63E9">
              <w:rPr>
                <w:rFonts w:ascii="Arial" w:hAnsi="Arial" w:cs="Arial"/>
                <w:color w:val="000000" w:themeColor="text1"/>
                <w:sz w:val="20"/>
                <w:szCs w:val="20"/>
              </w:rPr>
              <w:t xml:space="preserve"> 120 </w:t>
            </w:r>
            <w:proofErr w:type="spellStart"/>
            <w:r w:rsidRPr="006B63E9">
              <w:rPr>
                <w:rFonts w:ascii="Arial" w:hAnsi="Arial" w:cs="Arial"/>
                <w:color w:val="000000" w:themeColor="text1"/>
                <w:sz w:val="20"/>
                <w:szCs w:val="20"/>
              </w:rPr>
              <w:t>سانتی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مودل</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دایروی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آهن</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چادر</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و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دان</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1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
        </w:tc>
        <w:tc>
          <w:tcPr>
            <w:tcW w:w="836" w:type="dxa"/>
            <w:noWrap/>
            <w:hideMark/>
          </w:tcPr>
          <w:p w14:paraId="306BA39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2C70ADE8"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79CC5806"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2F59C79B"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14031A71" w14:textId="77777777" w:rsidTr="006B63E9">
        <w:trPr>
          <w:gridAfter w:val="1"/>
          <w:wAfter w:w="7" w:type="dxa"/>
          <w:trHeight w:val="290"/>
        </w:trPr>
        <w:tc>
          <w:tcPr>
            <w:tcW w:w="766" w:type="dxa"/>
            <w:noWrap/>
            <w:hideMark/>
          </w:tcPr>
          <w:p w14:paraId="3E15A2E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w:t>
            </w:r>
          </w:p>
        </w:tc>
        <w:tc>
          <w:tcPr>
            <w:tcW w:w="5178" w:type="dxa"/>
            <w:noWrap/>
            <w:hideMark/>
          </w:tcPr>
          <w:p w14:paraId="5F184FC3"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Stove </w:t>
            </w:r>
            <w:proofErr w:type="spellStart"/>
            <w:r w:rsidRPr="006B63E9">
              <w:rPr>
                <w:rFonts w:ascii="Arial" w:hAnsi="Arial" w:cs="Arial"/>
                <w:color w:val="000000" w:themeColor="text1"/>
                <w:sz w:val="20"/>
                <w:szCs w:val="20"/>
              </w:rPr>
              <w:t>Patnos</w:t>
            </w:r>
            <w:proofErr w:type="spellEnd"/>
            <w:r w:rsidRPr="006B63E9">
              <w:rPr>
                <w:rFonts w:ascii="Arial" w:hAnsi="Arial" w:cs="Arial"/>
                <w:color w:val="000000" w:themeColor="text1"/>
                <w:sz w:val="20"/>
                <w:szCs w:val="20"/>
              </w:rPr>
              <w:t>, (80/60) cm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پتنوس</w:t>
            </w:r>
            <w:proofErr w:type="spellEnd"/>
            <w:r w:rsidRPr="006B63E9">
              <w:rPr>
                <w:rFonts w:ascii="Arial" w:hAnsi="Arial" w:cs="Arial"/>
                <w:color w:val="000000" w:themeColor="text1"/>
                <w:sz w:val="20"/>
                <w:szCs w:val="20"/>
              </w:rPr>
              <w:t xml:space="preserve"> 80*60 </w:t>
            </w:r>
            <w:proofErr w:type="spellStart"/>
            <w:r w:rsidRPr="006B63E9">
              <w:rPr>
                <w:rFonts w:ascii="Arial" w:hAnsi="Arial" w:cs="Arial"/>
                <w:color w:val="000000" w:themeColor="text1"/>
                <w:sz w:val="20"/>
                <w:szCs w:val="20"/>
              </w:rPr>
              <w:t>سانتی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0.5</w:t>
            </w:r>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
        </w:tc>
        <w:tc>
          <w:tcPr>
            <w:tcW w:w="836" w:type="dxa"/>
            <w:noWrap/>
            <w:hideMark/>
          </w:tcPr>
          <w:p w14:paraId="42B8DABC"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48AC318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10F573C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336710F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04B0F1A8" w14:textId="77777777" w:rsidTr="006B63E9">
        <w:trPr>
          <w:gridAfter w:val="1"/>
          <w:wAfter w:w="7" w:type="dxa"/>
          <w:trHeight w:val="290"/>
        </w:trPr>
        <w:tc>
          <w:tcPr>
            <w:tcW w:w="766" w:type="dxa"/>
            <w:noWrap/>
            <w:hideMark/>
          </w:tcPr>
          <w:p w14:paraId="561A2FC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3</w:t>
            </w:r>
          </w:p>
        </w:tc>
        <w:tc>
          <w:tcPr>
            <w:tcW w:w="5178" w:type="dxa"/>
            <w:noWrap/>
            <w:hideMark/>
          </w:tcPr>
          <w:p w14:paraId="45A8A1A4"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tongs, (0.5) </w:t>
            </w:r>
            <w:proofErr w:type="spellStart"/>
            <w:proofErr w:type="gram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انبر</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آهنی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p>
        </w:tc>
        <w:tc>
          <w:tcPr>
            <w:tcW w:w="836" w:type="dxa"/>
            <w:noWrap/>
            <w:hideMark/>
          </w:tcPr>
          <w:p w14:paraId="714DE612"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5480240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52F39C3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66BD3BED"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5FB0096A" w14:textId="77777777" w:rsidTr="006B63E9">
        <w:trPr>
          <w:gridAfter w:val="1"/>
          <w:wAfter w:w="7" w:type="dxa"/>
          <w:trHeight w:val="290"/>
        </w:trPr>
        <w:tc>
          <w:tcPr>
            <w:tcW w:w="766" w:type="dxa"/>
            <w:noWrap/>
            <w:hideMark/>
          </w:tcPr>
          <w:p w14:paraId="1333657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4</w:t>
            </w:r>
          </w:p>
        </w:tc>
        <w:tc>
          <w:tcPr>
            <w:tcW w:w="5178" w:type="dxa"/>
            <w:noWrap/>
            <w:hideMark/>
          </w:tcPr>
          <w:p w14:paraId="35C953B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skimmer                                                </w:t>
            </w:r>
            <w:proofErr w:type="spellStart"/>
            <w:r w:rsidRPr="006B63E9">
              <w:rPr>
                <w:rFonts w:ascii="Arial" w:hAnsi="Arial" w:cs="Arial"/>
                <w:color w:val="000000" w:themeColor="text1"/>
                <w:sz w:val="20"/>
                <w:szCs w:val="20"/>
              </w:rPr>
              <w:t>کفگیر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گیر</w:t>
            </w:r>
            <w:proofErr w:type="spellEnd"/>
          </w:p>
        </w:tc>
        <w:tc>
          <w:tcPr>
            <w:tcW w:w="836" w:type="dxa"/>
            <w:noWrap/>
            <w:hideMark/>
          </w:tcPr>
          <w:p w14:paraId="079E3FA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5CFC697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5A65FF59"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1601D75F"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61FBF7C6" w14:textId="77777777" w:rsidTr="006B63E9">
        <w:trPr>
          <w:gridAfter w:val="1"/>
          <w:wAfter w:w="7" w:type="dxa"/>
          <w:trHeight w:val="580"/>
        </w:trPr>
        <w:tc>
          <w:tcPr>
            <w:tcW w:w="766" w:type="dxa"/>
            <w:noWrap/>
            <w:hideMark/>
          </w:tcPr>
          <w:p w14:paraId="7F66004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5</w:t>
            </w:r>
          </w:p>
        </w:tc>
        <w:tc>
          <w:tcPr>
            <w:tcW w:w="5178" w:type="dxa"/>
            <w:noWrap/>
            <w:hideMark/>
          </w:tcPr>
          <w:p w14:paraId="072646D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Stove pipe, sheet (0.4</w:t>
            </w:r>
            <w:proofErr w:type="gramStart"/>
            <w:r w:rsidRPr="006B63E9">
              <w:rPr>
                <w:rFonts w:ascii="Arial" w:hAnsi="Arial" w:cs="Arial"/>
                <w:color w:val="000000" w:themeColor="text1"/>
                <w:sz w:val="20"/>
                <w:szCs w:val="20"/>
              </w:rPr>
              <w:t>),</w:t>
            </w:r>
            <w:proofErr w:type="spellStart"/>
            <w:r w:rsidRPr="006B63E9">
              <w:rPr>
                <w:rFonts w:ascii="Arial" w:hAnsi="Arial" w:cs="Arial"/>
                <w:color w:val="000000" w:themeColor="text1"/>
                <w:sz w:val="20"/>
                <w:szCs w:val="20"/>
              </w:rPr>
              <w:t>Tapadar</w:t>
            </w:r>
            <w:proofErr w:type="spellEnd"/>
            <w:proofErr w:type="gramEnd"/>
            <w:r w:rsidRPr="006B63E9">
              <w:rPr>
                <w:rFonts w:ascii="Arial" w:hAnsi="Arial" w:cs="Arial"/>
                <w:color w:val="000000" w:themeColor="text1"/>
                <w:sz w:val="20"/>
                <w:szCs w:val="20"/>
              </w:rPr>
              <w:t xml:space="preserve">, 5 Meter for Each stove     </w:t>
            </w:r>
            <w:proofErr w:type="spellStart"/>
            <w:r w:rsidRPr="006B63E9">
              <w:rPr>
                <w:rFonts w:ascii="Arial" w:hAnsi="Arial" w:cs="Arial"/>
                <w:color w:val="000000" w:themeColor="text1"/>
                <w:sz w:val="20"/>
                <w:szCs w:val="20"/>
              </w:rPr>
              <w:t>لوله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0.4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5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هر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
        </w:tc>
        <w:tc>
          <w:tcPr>
            <w:tcW w:w="836" w:type="dxa"/>
            <w:noWrap/>
            <w:hideMark/>
          </w:tcPr>
          <w:p w14:paraId="62778648"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Meter</w:t>
            </w:r>
          </w:p>
        </w:tc>
        <w:tc>
          <w:tcPr>
            <w:tcW w:w="1096" w:type="dxa"/>
            <w:noWrap/>
            <w:hideMark/>
          </w:tcPr>
          <w:p w14:paraId="1E67678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500</w:t>
            </w:r>
          </w:p>
        </w:tc>
        <w:tc>
          <w:tcPr>
            <w:tcW w:w="1304" w:type="dxa"/>
            <w:noWrap/>
            <w:hideMark/>
          </w:tcPr>
          <w:p w14:paraId="7FFA7030"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45AEE7B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52D1C243" w14:textId="77777777" w:rsidTr="006B63E9">
        <w:trPr>
          <w:gridAfter w:val="1"/>
          <w:wAfter w:w="7" w:type="dxa"/>
          <w:trHeight w:val="290"/>
        </w:trPr>
        <w:tc>
          <w:tcPr>
            <w:tcW w:w="766" w:type="dxa"/>
            <w:noWrap/>
            <w:hideMark/>
          </w:tcPr>
          <w:p w14:paraId="1A5D4BC9"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6</w:t>
            </w:r>
          </w:p>
        </w:tc>
        <w:tc>
          <w:tcPr>
            <w:tcW w:w="5178" w:type="dxa"/>
            <w:noWrap/>
            <w:hideMark/>
          </w:tcPr>
          <w:p w14:paraId="0831243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Bend Knee for stove </w:t>
            </w:r>
            <w:proofErr w:type="gramStart"/>
            <w:r w:rsidRPr="006B63E9">
              <w:rPr>
                <w:rFonts w:ascii="Arial" w:hAnsi="Arial" w:cs="Arial"/>
                <w:color w:val="000000" w:themeColor="text1"/>
                <w:sz w:val="20"/>
                <w:szCs w:val="20"/>
              </w:rPr>
              <w:t>pipe ,</w:t>
            </w:r>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زانو</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خم</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لوله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تپه</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p>
        </w:tc>
        <w:tc>
          <w:tcPr>
            <w:tcW w:w="836" w:type="dxa"/>
            <w:noWrap/>
            <w:hideMark/>
          </w:tcPr>
          <w:p w14:paraId="6047A67A"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37CA754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6D011DC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5EE002A1"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09C63F65" w14:textId="77777777" w:rsidTr="006B63E9">
        <w:trPr>
          <w:gridAfter w:val="1"/>
          <w:wAfter w:w="7" w:type="dxa"/>
          <w:trHeight w:val="580"/>
        </w:trPr>
        <w:tc>
          <w:tcPr>
            <w:tcW w:w="766" w:type="dxa"/>
            <w:noWrap/>
            <w:hideMark/>
          </w:tcPr>
          <w:p w14:paraId="54167422"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7</w:t>
            </w:r>
          </w:p>
        </w:tc>
        <w:tc>
          <w:tcPr>
            <w:tcW w:w="5178" w:type="dxa"/>
            <w:noWrap/>
            <w:hideMark/>
          </w:tcPr>
          <w:p w14:paraId="7C72167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Chimney sweep for stove (0.3)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for wind and rain.       </w:t>
            </w:r>
            <w:proofErr w:type="spellStart"/>
            <w:r w:rsidRPr="006B63E9">
              <w:rPr>
                <w:rFonts w:ascii="Arial" w:hAnsi="Arial" w:cs="Arial"/>
                <w:color w:val="000000" w:themeColor="text1"/>
                <w:sz w:val="20"/>
                <w:szCs w:val="20"/>
              </w:rPr>
              <w:t>سه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راهی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دوکش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باد</w:t>
            </w:r>
            <w:proofErr w:type="spellEnd"/>
            <w:r w:rsidRPr="006B63E9">
              <w:rPr>
                <w:rFonts w:ascii="Arial" w:hAnsi="Arial" w:cs="Arial"/>
                <w:color w:val="000000" w:themeColor="text1"/>
                <w:sz w:val="20"/>
                <w:szCs w:val="20"/>
              </w:rPr>
              <w:t xml:space="preserve"> و </w:t>
            </w:r>
            <w:proofErr w:type="spellStart"/>
            <w:r w:rsidRPr="006B63E9">
              <w:rPr>
                <w:rFonts w:ascii="Arial" w:hAnsi="Arial" w:cs="Arial"/>
                <w:color w:val="000000" w:themeColor="text1"/>
                <w:sz w:val="20"/>
                <w:szCs w:val="20"/>
              </w:rPr>
              <w:t>باران</w:t>
            </w:r>
            <w:proofErr w:type="spellEnd"/>
          </w:p>
        </w:tc>
        <w:tc>
          <w:tcPr>
            <w:tcW w:w="836" w:type="dxa"/>
            <w:noWrap/>
            <w:hideMark/>
          </w:tcPr>
          <w:p w14:paraId="3FD5A6F5"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0272CE10"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0957F31D"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0E1654F7"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2C6849CA" w14:textId="77777777" w:rsidTr="006B63E9">
        <w:trPr>
          <w:gridAfter w:val="1"/>
          <w:wAfter w:w="7" w:type="dxa"/>
          <w:trHeight w:val="290"/>
        </w:trPr>
        <w:tc>
          <w:tcPr>
            <w:tcW w:w="766" w:type="dxa"/>
            <w:noWrap/>
            <w:hideMark/>
          </w:tcPr>
          <w:p w14:paraId="157ACEB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8</w:t>
            </w:r>
          </w:p>
        </w:tc>
        <w:tc>
          <w:tcPr>
            <w:tcW w:w="5178" w:type="dxa"/>
            <w:noWrap/>
            <w:hideMark/>
          </w:tcPr>
          <w:p w14:paraId="2358E31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Firewood, from mulberry tree.       </w:t>
            </w:r>
            <w:proofErr w:type="spellStart"/>
            <w:r w:rsidRPr="006B63E9">
              <w:rPr>
                <w:rFonts w:ascii="Arial" w:hAnsi="Arial" w:cs="Arial"/>
                <w:color w:val="000000" w:themeColor="text1"/>
                <w:sz w:val="20"/>
                <w:szCs w:val="20"/>
              </w:rPr>
              <w:t>چوب</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خشک</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توت</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زردالو</w:t>
            </w:r>
            <w:proofErr w:type="spellEnd"/>
            <w:proofErr w:type="gramEnd"/>
            <w:r w:rsidRPr="006B63E9">
              <w:rPr>
                <w:rFonts w:ascii="Arial" w:hAnsi="Arial" w:cs="Arial"/>
                <w:color w:val="000000" w:themeColor="text1"/>
                <w:sz w:val="20"/>
                <w:szCs w:val="20"/>
              </w:rPr>
              <w:t xml:space="preserve"> , </w:t>
            </w:r>
            <w:proofErr w:type="spellStart"/>
            <w:r w:rsidRPr="006B63E9">
              <w:rPr>
                <w:rFonts w:ascii="Arial" w:hAnsi="Arial" w:cs="Arial"/>
                <w:color w:val="000000" w:themeColor="text1"/>
                <w:sz w:val="20"/>
                <w:szCs w:val="20"/>
              </w:rPr>
              <w:t>انار</w:t>
            </w:r>
            <w:proofErr w:type="spellEnd"/>
          </w:p>
        </w:tc>
        <w:tc>
          <w:tcPr>
            <w:tcW w:w="836" w:type="dxa"/>
            <w:noWrap/>
            <w:hideMark/>
          </w:tcPr>
          <w:p w14:paraId="240D9A34"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Kg</w:t>
            </w:r>
          </w:p>
        </w:tc>
        <w:tc>
          <w:tcPr>
            <w:tcW w:w="1096" w:type="dxa"/>
            <w:noWrap/>
            <w:hideMark/>
          </w:tcPr>
          <w:p w14:paraId="38E183BC"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201,920</w:t>
            </w:r>
          </w:p>
        </w:tc>
        <w:tc>
          <w:tcPr>
            <w:tcW w:w="1304" w:type="dxa"/>
            <w:noWrap/>
            <w:hideMark/>
          </w:tcPr>
          <w:p w14:paraId="3E87A664"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75071973"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35302E89" w14:textId="77777777" w:rsidTr="006B63E9">
        <w:trPr>
          <w:gridAfter w:val="1"/>
          <w:wAfter w:w="7" w:type="dxa"/>
          <w:trHeight w:val="290"/>
        </w:trPr>
        <w:tc>
          <w:tcPr>
            <w:tcW w:w="766" w:type="dxa"/>
            <w:noWrap/>
            <w:hideMark/>
          </w:tcPr>
          <w:p w14:paraId="37E38B59"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9</w:t>
            </w:r>
          </w:p>
        </w:tc>
        <w:tc>
          <w:tcPr>
            <w:tcW w:w="5178" w:type="dxa"/>
            <w:noWrap/>
            <w:hideMark/>
          </w:tcPr>
          <w:p w14:paraId="2F659B5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Gel      </w:t>
            </w:r>
            <w:proofErr w:type="spellStart"/>
            <w:r w:rsidRPr="006B63E9">
              <w:rPr>
                <w:rFonts w:ascii="Arial" w:hAnsi="Arial" w:cs="Arial"/>
                <w:color w:val="000000" w:themeColor="text1"/>
                <w:sz w:val="20"/>
                <w:szCs w:val="20"/>
              </w:rPr>
              <w:t>ژل</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زا</w:t>
            </w:r>
            <w:proofErr w:type="spellEnd"/>
          </w:p>
        </w:tc>
        <w:tc>
          <w:tcPr>
            <w:tcW w:w="836" w:type="dxa"/>
            <w:noWrap/>
            <w:hideMark/>
          </w:tcPr>
          <w:p w14:paraId="68043EE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Bottle</w:t>
            </w:r>
          </w:p>
        </w:tc>
        <w:tc>
          <w:tcPr>
            <w:tcW w:w="1096" w:type="dxa"/>
            <w:noWrap/>
            <w:hideMark/>
          </w:tcPr>
          <w:p w14:paraId="05EEF56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2,780</w:t>
            </w:r>
          </w:p>
        </w:tc>
        <w:tc>
          <w:tcPr>
            <w:tcW w:w="1304" w:type="dxa"/>
            <w:noWrap/>
            <w:hideMark/>
          </w:tcPr>
          <w:p w14:paraId="3B4901B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7AD414D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6B63E9" w14:paraId="502CE898" w14:textId="65E3F5F2" w:rsidTr="006B63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0" w:type="dxa"/>
          <w:trHeight w:val="100"/>
        </w:trPr>
        <w:tc>
          <w:tcPr>
            <w:tcW w:w="2400" w:type="dxa"/>
            <w:gridSpan w:val="2"/>
            <w:tcBorders>
              <w:top w:val="single" w:sz="4" w:space="0" w:color="auto"/>
              <w:left w:val="single" w:sz="4" w:space="0" w:color="auto"/>
              <w:bottom w:val="single" w:sz="4" w:space="0" w:color="auto"/>
              <w:right w:val="single" w:sz="4" w:space="0" w:color="auto"/>
            </w:tcBorders>
          </w:tcPr>
          <w:p w14:paraId="28153206" w14:textId="30A9195F" w:rsidR="006B63E9" w:rsidRDefault="006B63E9" w:rsidP="006B63E9">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Grant Total AFN</w:t>
            </w: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14:paraId="755F1FE0" w14:textId="77777777" w:rsidR="006B63E9" w:rsidRDefault="006B63E9">
            <w:pPr>
              <w:rPr>
                <w:rFonts w:cstheme="minorHAnsi"/>
                <w:b/>
                <w:bCs/>
                <w:color w:val="000000" w:themeColor="text1"/>
              </w:rPr>
            </w:pPr>
          </w:p>
        </w:tc>
      </w:tr>
    </w:tbl>
    <w:p w14:paraId="5B780187" w14:textId="77777777" w:rsidR="0038716F" w:rsidRDefault="0038716F" w:rsidP="00E75086">
      <w:pPr>
        <w:pStyle w:val="Default"/>
        <w:spacing w:after="120" w:line="276" w:lineRule="auto"/>
        <w:rPr>
          <w:rFonts w:asciiTheme="minorHAnsi" w:hAnsiTheme="minorHAnsi" w:cstheme="minorHAnsi"/>
          <w:b/>
          <w:bCs/>
          <w:color w:val="000000" w:themeColor="text1"/>
          <w:sz w:val="22"/>
          <w:szCs w:val="22"/>
        </w:rPr>
      </w:pPr>
    </w:p>
    <w:p w14:paraId="7504994F" w14:textId="77777777" w:rsidR="006B63E9" w:rsidRDefault="006B63E9" w:rsidP="00666DA2">
      <w:pPr>
        <w:pStyle w:val="Default"/>
        <w:spacing w:after="120" w:line="276" w:lineRule="auto"/>
        <w:rPr>
          <w:rFonts w:asciiTheme="minorHAnsi" w:hAnsiTheme="minorHAnsi" w:cstheme="minorHAnsi"/>
          <w:b/>
          <w:bCs/>
          <w:color w:val="000000" w:themeColor="text1"/>
          <w:sz w:val="22"/>
          <w:szCs w:val="22"/>
        </w:rPr>
      </w:pPr>
    </w:p>
    <w:p w14:paraId="76DB0959" w14:textId="24E4B51B"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146DD6D2"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company i</w:t>
      </w:r>
      <w:r w:rsidR="000B7F9D">
        <w:rPr>
          <w:rFonts w:asciiTheme="minorHAnsi" w:hAnsiTheme="minorHAnsi" w:cstheme="minorHAnsi"/>
          <w:color w:val="000000" w:themeColor="text1"/>
          <w:sz w:val="22"/>
          <w:szCs w:val="22"/>
        </w:rPr>
        <w:t>n</w:t>
      </w:r>
      <w:r w:rsidRPr="00666DA2">
        <w:rPr>
          <w:rFonts w:asciiTheme="minorHAnsi" w:hAnsiTheme="minorHAnsi" w:cstheme="minorHAnsi"/>
          <w:color w:val="000000" w:themeColor="text1"/>
          <w:sz w:val="22"/>
          <w:szCs w:val="22"/>
        </w:rPr>
        <w:t xml:space="preserve"> Afghanistan are eligible to bid for this procurement.  In order for their bids to be considered “responsive” and be evaluated for award, </w:t>
      </w:r>
      <w:r w:rsidR="000B7F9D">
        <w:rPr>
          <w:rFonts w:asciiTheme="minorHAnsi" w:hAnsiTheme="minorHAnsi" w:cstheme="minorHAnsi"/>
          <w:color w:val="000000" w:themeColor="text1"/>
          <w:sz w:val="22"/>
          <w:szCs w:val="22"/>
        </w:rPr>
        <w:t xml:space="preserve">local companies in Farah province are highly encouraged to apply, </w:t>
      </w:r>
      <w:r w:rsidRPr="00666DA2">
        <w:rPr>
          <w:rFonts w:asciiTheme="minorHAnsi" w:hAnsiTheme="minorHAnsi" w:cstheme="minorHAnsi"/>
          <w:color w:val="000000" w:themeColor="text1"/>
          <w:sz w:val="22"/>
          <w:szCs w:val="22"/>
        </w:rPr>
        <w:t xml:space="preserve">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56AABB11" w14:textId="081F4A9B" w:rsidR="00E75086" w:rsidRDefault="00666DA2" w:rsidP="00810A3D">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414ECB9" w14:textId="23345FE9"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In order for TLO to conduct the most efficient analysis of proposals received, please format your response as follows:   1. A letter of transmittal confirming:  a. Your company’s status as a licensed firm with AISA/Ministry of Commerce or Kabul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a minimum of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73059F78"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0B7F9D">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21343B35" w14:textId="321CC657" w:rsidR="000B7F9D" w:rsidRPr="00EA1937" w:rsidRDefault="007B3A6B" w:rsidP="00EA1937">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35DE21D0" w14:textId="39C3A240"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5F0B21C2"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36355317" w14:textId="3F0BE116" w:rsidR="002A682A" w:rsidRPr="00810A3D" w:rsidRDefault="003F6BEB" w:rsidP="00810A3D">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EA1937" w:rsidRPr="00EA1937">
        <w:rPr>
          <w:rFonts w:asciiTheme="minorHAnsi" w:eastAsia="DejaVu Sans" w:hAnsiTheme="minorHAnsi" w:cstheme="minorHAnsi"/>
          <w:color w:val="000000" w:themeColor="text1"/>
          <w:kern w:val="2"/>
        </w:rPr>
        <w:t>PD3, House No 36, Street No8</w:t>
      </w:r>
      <w:r w:rsidR="00EA1937">
        <w:rPr>
          <w:rFonts w:asciiTheme="minorHAnsi" w:eastAsia="DejaVu Sans" w:hAnsiTheme="minorHAnsi" w:cstheme="minorHAnsi"/>
          <w:color w:val="000000" w:themeColor="text1"/>
          <w:kern w:val="2"/>
        </w:rPr>
        <w:t xml:space="preserve">, </w:t>
      </w:r>
      <w:r w:rsidR="00EA1937" w:rsidRPr="00EA1937">
        <w:rPr>
          <w:rFonts w:asciiTheme="minorHAnsi" w:eastAsia="DejaVu Sans" w:hAnsiTheme="minorHAnsi" w:cstheme="minorHAnsi"/>
          <w:color w:val="000000" w:themeColor="text1"/>
          <w:kern w:val="2"/>
        </w:rPr>
        <w:t>Farah province</w:t>
      </w:r>
      <w:r w:rsidR="00EA1937">
        <w:rPr>
          <w:rFonts w:asciiTheme="minorHAnsi" w:eastAsia="DejaVu Sans" w:hAnsiTheme="minorHAnsi" w:cstheme="minorHAnsi"/>
          <w:color w:val="000000" w:themeColor="text1"/>
          <w:kern w:val="2"/>
        </w:rPr>
        <w:t>, Afghanistan</w:t>
      </w:r>
      <w:r w:rsidR="001E241C">
        <w:rPr>
          <w:rFonts w:asciiTheme="minorHAnsi" w:eastAsia="DejaVu Sans" w:hAnsiTheme="minorHAnsi" w:cstheme="minorHAnsi"/>
          <w:color w:val="000000" w:themeColor="text1"/>
          <w:kern w:val="2"/>
        </w:rPr>
        <w:t>.</w:t>
      </w: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t>Submission of Quotation:</w:t>
      </w:r>
    </w:p>
    <w:p w14:paraId="13E665C5" w14:textId="0DA3AAA4" w:rsidR="007E2BC7" w:rsidRPr="0038716F" w:rsidRDefault="00666DA2" w:rsidP="0038716F">
      <w:pPr>
        <w:spacing w:after="120" w:line="276" w:lineRule="auto"/>
        <w:jc w:val="center"/>
        <w:rPr>
          <w:rFonts w:eastAsia="DejaVu Sans" w:cstheme="minorHAnsi"/>
          <w:color w:val="000000" w:themeColor="text1"/>
          <w:kern w:val="2"/>
        </w:rPr>
      </w:pPr>
      <w:r w:rsidRPr="00666DA2">
        <w:rPr>
          <w:rFonts w:eastAsia="DejaVu Sans" w:cstheme="minorHAnsi"/>
          <w:color w:val="000000" w:themeColor="text1"/>
          <w:kern w:val="2"/>
        </w:rPr>
        <w:lastRenderedPageBreak/>
        <w:t>The deadline for submission of sealed hard copies of of</w:t>
      </w:r>
      <w:r w:rsidR="00525778">
        <w:rPr>
          <w:rFonts w:eastAsia="DejaVu Sans" w:cstheme="minorHAnsi"/>
          <w:color w:val="000000" w:themeColor="text1"/>
          <w:kern w:val="2"/>
        </w:rPr>
        <w:t xml:space="preserve">fers is </w:t>
      </w:r>
      <w:r w:rsidR="00EA1937">
        <w:rPr>
          <w:rFonts w:eastAsia="DejaVu Sans" w:cstheme="minorHAnsi"/>
          <w:color w:val="000000" w:themeColor="text1"/>
          <w:kern w:val="2"/>
        </w:rPr>
        <w:t>Dec</w:t>
      </w:r>
      <w:r w:rsidR="007E2BC7">
        <w:rPr>
          <w:rFonts w:eastAsia="DejaVu Sans" w:cstheme="minorHAnsi"/>
          <w:color w:val="000000" w:themeColor="text1"/>
          <w:kern w:val="2"/>
        </w:rPr>
        <w:t xml:space="preserve"> </w:t>
      </w:r>
      <w:r w:rsidR="00EA1937">
        <w:rPr>
          <w:rFonts w:eastAsia="DejaVu Sans" w:cstheme="minorHAnsi"/>
          <w:color w:val="000000" w:themeColor="text1"/>
          <w:kern w:val="2"/>
        </w:rPr>
        <w:t>29</w:t>
      </w:r>
      <w:r w:rsidR="007E2BC7" w:rsidRPr="007E2BC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EA1937">
        <w:rPr>
          <w:rFonts w:eastAsia="DejaVu Sans" w:cstheme="minorHAnsi"/>
          <w:b/>
          <w:bCs/>
          <w:color w:val="000000" w:themeColor="text1"/>
          <w:kern w:val="2"/>
        </w:rPr>
        <w:t>41</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r w:rsidR="007E2BC7" w:rsidRPr="0038716F">
        <w:rPr>
          <w:rFonts w:eastAsia="DejaVu Sans" w:cstheme="minorHAnsi"/>
          <w:b/>
          <w:bCs/>
          <w:color w:val="000000" w:themeColor="text1"/>
          <w:kern w:val="2"/>
        </w:rPr>
        <w:t>Address:</w:t>
      </w:r>
      <w:r w:rsidR="007E2BC7" w:rsidRPr="0038716F">
        <w:rPr>
          <w:rFonts w:eastAsia="DejaVu Sans" w:cstheme="minorHAnsi"/>
          <w:color w:val="000000" w:themeColor="text1"/>
          <w:kern w:val="2"/>
        </w:rPr>
        <w:t xml:space="preserve"> </w:t>
      </w:r>
      <w:r w:rsidR="00EA1937" w:rsidRPr="00EA1937">
        <w:rPr>
          <w:rFonts w:eastAsia="DejaVu Sans" w:cstheme="minorHAnsi"/>
          <w:color w:val="000000" w:themeColor="text1"/>
          <w:kern w:val="2"/>
        </w:rPr>
        <w:t>PD3, House No 36, Street No8</w:t>
      </w:r>
      <w:r w:rsidR="00EA1937">
        <w:rPr>
          <w:rFonts w:eastAsia="DejaVu Sans" w:cstheme="minorHAnsi"/>
          <w:color w:val="000000" w:themeColor="text1"/>
          <w:kern w:val="2"/>
        </w:rPr>
        <w:t xml:space="preserve">, </w:t>
      </w:r>
      <w:r w:rsidR="00EA1937" w:rsidRPr="00EA1937">
        <w:rPr>
          <w:rFonts w:eastAsia="DejaVu Sans" w:cstheme="minorHAnsi"/>
          <w:color w:val="000000" w:themeColor="text1"/>
          <w:kern w:val="2"/>
        </w:rPr>
        <w:t>Farah province</w:t>
      </w:r>
      <w:r w:rsidR="00EA1937">
        <w:rPr>
          <w:rFonts w:eastAsia="DejaVu Sans" w:cstheme="minorHAnsi"/>
          <w:color w:val="000000" w:themeColor="text1"/>
          <w:kern w:val="2"/>
        </w:rPr>
        <w:t>, Afghanistan.</w:t>
      </w:r>
    </w:p>
    <w:p w14:paraId="43DA150F" w14:textId="0F78371B" w:rsidR="001E241C" w:rsidRPr="00560DA9" w:rsidRDefault="00666DA2" w:rsidP="0038716F">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19E2FEC8"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should be submitted by email to</w:t>
      </w:r>
      <w:r w:rsidR="00EA1937">
        <w:rPr>
          <w:rFonts w:eastAsia="DejaVu Sans" w:cstheme="minorHAnsi"/>
          <w:color w:val="000000" w:themeColor="text1"/>
          <w:kern w:val="2"/>
        </w:rPr>
        <w:t xml:space="preserve"> </w:t>
      </w:r>
      <w:r w:rsidR="00EA1937">
        <w:rPr>
          <w:rFonts w:eastAsia="DejaVu Sans" w:cstheme="minorHAnsi"/>
          <w:b/>
          <w:bCs/>
          <w:color w:val="000000" w:themeColor="text1"/>
          <w:kern w:val="2"/>
        </w:rPr>
        <w:t>Said Khan Rohi</w:t>
      </w:r>
      <w:r w:rsidR="001A36C8">
        <w:rPr>
          <w:rFonts w:eastAsia="DejaVu Sans" w:cstheme="minorHAnsi"/>
          <w:color w:val="000000" w:themeColor="text1"/>
          <w:kern w:val="2"/>
        </w:rPr>
        <w:t xml:space="preserve"> </w:t>
      </w:r>
      <w:r w:rsidR="00EA1937">
        <w:rPr>
          <w:rFonts w:eastAsia="DejaVu Sans" w:cstheme="minorHAnsi"/>
          <w:color w:val="000000" w:themeColor="text1"/>
          <w:kern w:val="2"/>
        </w:rPr>
        <w:t>(</w:t>
      </w:r>
      <w:hyperlink r:id="rId10" w:history="1">
        <w:r w:rsidR="00EA1937" w:rsidRPr="00193EC5">
          <w:rPr>
            <w:rStyle w:val="Hyperlink"/>
            <w:rFonts w:eastAsia="DejaVu Sans" w:cstheme="minorHAnsi"/>
            <w:kern w:val="2"/>
          </w:rPr>
          <w:t>rohi.saidkhan@tlo-afghanistan.org</w:t>
        </w:r>
      </w:hyperlink>
      <w:r w:rsidR="00EA1937">
        <w:rPr>
          <w:rFonts w:eastAsia="DejaVu Sans" w:cstheme="minorHAnsi"/>
          <w:color w:val="000000" w:themeColor="text1"/>
          <w:kern w:val="2"/>
        </w:rPr>
        <w:t xml:space="preserve">) </w:t>
      </w:r>
      <w:r w:rsidR="00EA1937">
        <w:rPr>
          <w:rFonts w:eastAsia="DejaVu Sans" w:cstheme="minorHAnsi"/>
          <w:b/>
          <w:bCs/>
          <w:color w:val="000000" w:themeColor="text1"/>
          <w:kern w:val="2"/>
        </w:rPr>
        <w:t>Faisal Mujadidi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1" w:history="1">
        <w:r w:rsidR="00EA1937" w:rsidRPr="00193EC5">
          <w:rPr>
            <w:rStyle w:val="Hyperlink"/>
            <w:rFonts w:eastAsia="DejaVu Sans" w:cstheme="minorHAnsi"/>
            <w:kern w:val="2"/>
          </w:rPr>
          <w:t>faisal.mujadidi@tlo-afghanistan.org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EA1937">
        <w:rPr>
          <w:rFonts w:eastAsia="DejaVu Sans" w:cstheme="minorHAnsi"/>
          <w:b/>
          <w:bCs/>
          <w:color w:val="000000" w:themeColor="text1"/>
          <w:kern w:val="2"/>
        </w:rPr>
        <w:t>Mohammad Tahir Noorzai</w:t>
      </w:r>
      <w:r w:rsidR="00CA12DB">
        <w:rPr>
          <w:rFonts w:eastAsia="DejaVu Sans" w:cstheme="minorHAnsi"/>
          <w:color w:val="000000" w:themeColor="text1"/>
          <w:kern w:val="2"/>
        </w:rPr>
        <w:t xml:space="preserve"> (</w:t>
      </w:r>
      <w:hyperlink r:id="rId12" w:history="1">
        <w:r w:rsidR="00EA1937" w:rsidRPr="00193EC5">
          <w:rPr>
            <w:rStyle w:val="Hyperlink"/>
          </w:rPr>
          <w:t>mohammadtaher.noorzai@tlo-afghanistan.org</w:t>
        </w:r>
      </w:hyperlink>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EA1937">
        <w:rPr>
          <w:rFonts w:eastAsia="DejaVu Sans" w:cstheme="minorHAnsi"/>
          <w:color w:val="000000" w:themeColor="text1"/>
          <w:kern w:val="2"/>
        </w:rPr>
        <w:t>Dec 28</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53292D28"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EA1937">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35CD4AD0" w:rsidR="00164F7F" w:rsidRDefault="00164F7F"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03A0403E" w14:textId="580D6720" w:rsidR="007E2BC7" w:rsidRPr="00666DA2" w:rsidRDefault="007E2BC7"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Delivery Period: _______ Days</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footerReference w:type="defaul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ADCF" w14:textId="77777777" w:rsidR="006053BD" w:rsidRDefault="006053BD" w:rsidP="00151181">
      <w:pPr>
        <w:spacing w:after="0" w:line="240" w:lineRule="auto"/>
      </w:pPr>
      <w:r>
        <w:separator/>
      </w:r>
    </w:p>
  </w:endnote>
  <w:endnote w:type="continuationSeparator" w:id="0">
    <w:p w14:paraId="37858FCA" w14:textId="77777777" w:rsidR="006053BD" w:rsidRDefault="006053BD"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77254"/>
      <w:docPartObj>
        <w:docPartGallery w:val="Page Numbers (Bottom of Page)"/>
        <w:docPartUnique/>
      </w:docPartObj>
    </w:sdtPr>
    <w:sdtEndPr/>
    <w:sdtContent>
      <w:sdt>
        <w:sdtPr>
          <w:id w:val="-1769616900"/>
          <w:docPartObj>
            <w:docPartGallery w:val="Page Numbers (Top of Page)"/>
            <w:docPartUnique/>
          </w:docPartObj>
        </w:sdtPr>
        <w:sdtEndPr/>
        <w:sdtContent>
          <w:p w14:paraId="440ADA0E" w14:textId="3EC1D598" w:rsidR="006A6F0D" w:rsidRDefault="006A6F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2930E8" w14:textId="77777777" w:rsidR="006A6F0D" w:rsidRDefault="006A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BB45" w14:textId="77777777" w:rsidR="006053BD" w:rsidRDefault="006053BD" w:rsidP="00151181">
      <w:pPr>
        <w:spacing w:after="0" w:line="240" w:lineRule="auto"/>
      </w:pPr>
      <w:r>
        <w:separator/>
      </w:r>
    </w:p>
  </w:footnote>
  <w:footnote w:type="continuationSeparator" w:id="0">
    <w:p w14:paraId="7D2F62D6" w14:textId="77777777" w:rsidR="006053BD" w:rsidRDefault="006053BD"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CF6"/>
    <w:multiLevelType w:val="hybridMultilevel"/>
    <w:tmpl w:val="17403410"/>
    <w:lvl w:ilvl="0" w:tplc="4D32E5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8"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33"/>
  </w:num>
  <w:num w:numId="8">
    <w:abstractNumId w:val="14"/>
  </w:num>
  <w:num w:numId="9">
    <w:abstractNumId w:val="25"/>
  </w:num>
  <w:num w:numId="10">
    <w:abstractNumId w:val="29"/>
  </w:num>
  <w:num w:numId="11">
    <w:abstractNumId w:val="4"/>
  </w:num>
  <w:num w:numId="12">
    <w:abstractNumId w:val="26"/>
  </w:num>
  <w:num w:numId="13">
    <w:abstractNumId w:val="13"/>
  </w:num>
  <w:num w:numId="14">
    <w:abstractNumId w:val="11"/>
  </w:num>
  <w:num w:numId="15">
    <w:abstractNumId w:val="1"/>
  </w:num>
  <w:num w:numId="16">
    <w:abstractNumId w:val="5"/>
  </w:num>
  <w:num w:numId="17">
    <w:abstractNumId w:val="28"/>
  </w:num>
  <w:num w:numId="18">
    <w:abstractNumId w:val="0"/>
  </w:num>
  <w:num w:numId="19">
    <w:abstractNumId w:val="9"/>
  </w:num>
  <w:num w:numId="20">
    <w:abstractNumId w:val="31"/>
  </w:num>
  <w:num w:numId="21">
    <w:abstractNumId w:val="12"/>
  </w:num>
  <w:num w:numId="22">
    <w:abstractNumId w:val="2"/>
  </w:num>
  <w:num w:numId="23">
    <w:abstractNumId w:val="16"/>
  </w:num>
  <w:num w:numId="24">
    <w:abstractNumId w:val="10"/>
  </w:num>
  <w:num w:numId="25">
    <w:abstractNumId w:val="3"/>
  </w:num>
  <w:num w:numId="26">
    <w:abstractNumId w:val="19"/>
  </w:num>
  <w:num w:numId="27">
    <w:abstractNumId w:val="7"/>
  </w:num>
  <w:num w:numId="28">
    <w:abstractNumId w:val="32"/>
  </w:num>
  <w:num w:numId="29">
    <w:abstractNumId w:val="17"/>
  </w:num>
  <w:num w:numId="30">
    <w:abstractNumId w:val="15"/>
  </w:num>
  <w:num w:numId="31">
    <w:abstractNumId w:val="20"/>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B7F9D"/>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0AD"/>
    <w:rsid w:val="001B1624"/>
    <w:rsid w:val="001C22D8"/>
    <w:rsid w:val="001C5794"/>
    <w:rsid w:val="001C7D7E"/>
    <w:rsid w:val="001E241C"/>
    <w:rsid w:val="001E727C"/>
    <w:rsid w:val="001F6F92"/>
    <w:rsid w:val="00212C4C"/>
    <w:rsid w:val="00213FCF"/>
    <w:rsid w:val="002201AB"/>
    <w:rsid w:val="00221A3A"/>
    <w:rsid w:val="00224AA7"/>
    <w:rsid w:val="00260979"/>
    <w:rsid w:val="002A682A"/>
    <w:rsid w:val="002C0D4E"/>
    <w:rsid w:val="002C3DF8"/>
    <w:rsid w:val="002D135C"/>
    <w:rsid w:val="002D1EB1"/>
    <w:rsid w:val="002F09F4"/>
    <w:rsid w:val="002F281A"/>
    <w:rsid w:val="00302565"/>
    <w:rsid w:val="003026DE"/>
    <w:rsid w:val="003140A4"/>
    <w:rsid w:val="00317F9E"/>
    <w:rsid w:val="0032306E"/>
    <w:rsid w:val="00327159"/>
    <w:rsid w:val="00331FCB"/>
    <w:rsid w:val="00332AC2"/>
    <w:rsid w:val="00342C98"/>
    <w:rsid w:val="003608F3"/>
    <w:rsid w:val="00361EB5"/>
    <w:rsid w:val="003675DF"/>
    <w:rsid w:val="0036789F"/>
    <w:rsid w:val="0038716F"/>
    <w:rsid w:val="003A3C40"/>
    <w:rsid w:val="003A6EBE"/>
    <w:rsid w:val="003A75C5"/>
    <w:rsid w:val="003B3456"/>
    <w:rsid w:val="003B6379"/>
    <w:rsid w:val="003C3D99"/>
    <w:rsid w:val="003D1779"/>
    <w:rsid w:val="003E5104"/>
    <w:rsid w:val="003E5D86"/>
    <w:rsid w:val="003F355A"/>
    <w:rsid w:val="003F6BEB"/>
    <w:rsid w:val="00406C86"/>
    <w:rsid w:val="0041232E"/>
    <w:rsid w:val="00414350"/>
    <w:rsid w:val="00414ADE"/>
    <w:rsid w:val="00435F5C"/>
    <w:rsid w:val="0044547C"/>
    <w:rsid w:val="00447D93"/>
    <w:rsid w:val="0047117E"/>
    <w:rsid w:val="0047155D"/>
    <w:rsid w:val="004973D3"/>
    <w:rsid w:val="004B3805"/>
    <w:rsid w:val="004C38B8"/>
    <w:rsid w:val="004C42A0"/>
    <w:rsid w:val="004D1BC1"/>
    <w:rsid w:val="004D398C"/>
    <w:rsid w:val="004E51C3"/>
    <w:rsid w:val="004E5C7B"/>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53BD"/>
    <w:rsid w:val="0060687C"/>
    <w:rsid w:val="006208BE"/>
    <w:rsid w:val="00623A1E"/>
    <w:rsid w:val="006262CB"/>
    <w:rsid w:val="00636B24"/>
    <w:rsid w:val="00652901"/>
    <w:rsid w:val="00666DA2"/>
    <w:rsid w:val="00683190"/>
    <w:rsid w:val="00693FD1"/>
    <w:rsid w:val="00696805"/>
    <w:rsid w:val="006A634C"/>
    <w:rsid w:val="006A6F0D"/>
    <w:rsid w:val="006B2318"/>
    <w:rsid w:val="006B63E9"/>
    <w:rsid w:val="006B7B3E"/>
    <w:rsid w:val="006E0F60"/>
    <w:rsid w:val="006E5D3A"/>
    <w:rsid w:val="006F25BA"/>
    <w:rsid w:val="006F4F8A"/>
    <w:rsid w:val="006F6D54"/>
    <w:rsid w:val="00704B23"/>
    <w:rsid w:val="00706371"/>
    <w:rsid w:val="00706B8D"/>
    <w:rsid w:val="00707DDB"/>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7E2BC7"/>
    <w:rsid w:val="00804BDE"/>
    <w:rsid w:val="00810A3D"/>
    <w:rsid w:val="00814077"/>
    <w:rsid w:val="00814E39"/>
    <w:rsid w:val="0083492F"/>
    <w:rsid w:val="00837BB1"/>
    <w:rsid w:val="00846EA0"/>
    <w:rsid w:val="00851618"/>
    <w:rsid w:val="008753EB"/>
    <w:rsid w:val="00887ED1"/>
    <w:rsid w:val="00892D95"/>
    <w:rsid w:val="008A2CD7"/>
    <w:rsid w:val="008B3FDC"/>
    <w:rsid w:val="008B41F4"/>
    <w:rsid w:val="008D09F0"/>
    <w:rsid w:val="008D53BF"/>
    <w:rsid w:val="008E75AE"/>
    <w:rsid w:val="008F6486"/>
    <w:rsid w:val="0090265D"/>
    <w:rsid w:val="009103F9"/>
    <w:rsid w:val="00914A7F"/>
    <w:rsid w:val="00945960"/>
    <w:rsid w:val="009646C6"/>
    <w:rsid w:val="00983F7E"/>
    <w:rsid w:val="009A5FBA"/>
    <w:rsid w:val="009A7D5C"/>
    <w:rsid w:val="009B5D1F"/>
    <w:rsid w:val="009C2026"/>
    <w:rsid w:val="009F0633"/>
    <w:rsid w:val="009F301B"/>
    <w:rsid w:val="00A156EE"/>
    <w:rsid w:val="00A238E7"/>
    <w:rsid w:val="00A252FF"/>
    <w:rsid w:val="00A301F2"/>
    <w:rsid w:val="00A326E1"/>
    <w:rsid w:val="00A436D5"/>
    <w:rsid w:val="00A450CF"/>
    <w:rsid w:val="00A662E4"/>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271CC"/>
    <w:rsid w:val="00B45023"/>
    <w:rsid w:val="00B50654"/>
    <w:rsid w:val="00B64C5D"/>
    <w:rsid w:val="00B73986"/>
    <w:rsid w:val="00B76497"/>
    <w:rsid w:val="00B857F8"/>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A12DB"/>
    <w:rsid w:val="00CC3022"/>
    <w:rsid w:val="00D145E9"/>
    <w:rsid w:val="00D32305"/>
    <w:rsid w:val="00D509E0"/>
    <w:rsid w:val="00D675EB"/>
    <w:rsid w:val="00D72482"/>
    <w:rsid w:val="00D73651"/>
    <w:rsid w:val="00D81AA4"/>
    <w:rsid w:val="00D83FC4"/>
    <w:rsid w:val="00D921A1"/>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A1937"/>
    <w:rsid w:val="00EB1878"/>
    <w:rsid w:val="00EC371F"/>
    <w:rsid w:val="00ED0BAA"/>
    <w:rsid w:val="00EE5BCD"/>
    <w:rsid w:val="00EE7642"/>
    <w:rsid w:val="00F26CF3"/>
    <w:rsid w:val="00F27C4F"/>
    <w:rsid w:val="00F3092A"/>
    <w:rsid w:val="00F3260F"/>
    <w:rsid w:val="00F3308A"/>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498309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 w:id="21440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adtaher.noorzai@tlo-afghanist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sal.mujadidi@tlo-afghanist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hi.saidkh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Faisal Mujadidi</cp:lastModifiedBy>
  <cp:revision>4</cp:revision>
  <cp:lastPrinted>2024-12-25T09:07:00Z</cp:lastPrinted>
  <dcterms:created xsi:type="dcterms:W3CDTF">2024-10-03T09:20:00Z</dcterms:created>
  <dcterms:modified xsi:type="dcterms:W3CDTF">2024-12-25T09:07:00Z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