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ANNEX 1</w:t>
      </w:r>
      <w:r w:rsidDel="00000000" w:rsidR="00000000" w:rsidRPr="00000000">
        <w:rPr>
          <w:rtl w:val="0"/>
        </w:rPr>
      </w:r>
    </w:p>
    <w:p w:rsidR="00000000" w:rsidDel="00000000" w:rsidP="00000000" w:rsidRDefault="00000000" w:rsidRPr="00000000" w14:paraId="00000002">
      <w:pPr>
        <w:spacing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DECLARATION OF HONOUR ON EXCLUSION AND SELECTION CRITERIA</w:t>
      </w:r>
    </w:p>
    <w:p w:rsidR="00000000" w:rsidDel="00000000" w:rsidP="00000000" w:rsidRDefault="00000000" w:rsidRPr="00000000" w14:paraId="00000003">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undersigned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representing:</w:t>
      </w:r>
    </w:p>
    <w:tbl>
      <w:tblPr>
        <w:tblStyle w:val="Table1"/>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12" w:val="single"/>
        </w:tblBorders>
        <w:tblLayout w:type="fixed"/>
        <w:tblLook w:val="0000"/>
      </w:tblPr>
      <w:tblGrid>
        <w:gridCol w:w="3369"/>
        <w:gridCol w:w="6378"/>
        <w:tblGridChange w:id="0">
          <w:tblGrid>
            <w:gridCol w:w="3369"/>
            <w:gridCol w:w="6378"/>
          </w:tblGrid>
        </w:tblGridChange>
      </w:tblGrid>
      <w:tr>
        <w:trPr>
          <w:cantSplit w:val="0"/>
          <w:tblHeader w:val="0"/>
        </w:trPr>
        <w:tc>
          <w:tcPr/>
          <w:p w:rsidR="00000000" w:rsidDel="00000000" w:rsidP="00000000" w:rsidRDefault="00000000" w:rsidRPr="00000000" w14:paraId="00000004">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only for natural persons</w:t>
            </w:r>
            <w:r w:rsidDel="00000000" w:rsidR="00000000" w:rsidRPr="00000000">
              <w:rPr>
                <w:rFonts w:ascii="Times New Roman" w:cs="Times New Roman" w:eastAsia="Times New Roman" w:hAnsi="Times New Roman"/>
                <w:sz w:val="24"/>
                <w:szCs w:val="24"/>
                <w:rtl w:val="0"/>
              </w:rPr>
              <w:t xml:space="preserve">) himself or herself</w:t>
            </w:r>
          </w:p>
        </w:tc>
        <w:tc>
          <w:tcPr/>
          <w:p w:rsidR="00000000" w:rsidDel="00000000" w:rsidP="00000000" w:rsidRDefault="00000000" w:rsidRPr="00000000" w14:paraId="00000005">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only for legal persons</w:t>
            </w:r>
            <w:r w:rsidDel="00000000" w:rsidR="00000000" w:rsidRPr="00000000">
              <w:rPr>
                <w:rFonts w:ascii="Times New Roman" w:cs="Times New Roman" w:eastAsia="Times New Roman" w:hAnsi="Times New Roman"/>
                <w:sz w:val="24"/>
                <w:szCs w:val="24"/>
                <w:rtl w:val="0"/>
              </w:rPr>
              <w:t xml:space="preserve">) the following legal person: </w:t>
            </w:r>
          </w:p>
          <w:p w:rsidR="00000000" w:rsidDel="00000000" w:rsidP="00000000" w:rsidRDefault="00000000" w:rsidRPr="00000000" w14:paraId="00000006">
            <w:pPr>
              <w:spacing w:after="0"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7">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 or passport number: </w:t>
            </w:r>
          </w:p>
          <w:p w:rsidR="00000000" w:rsidDel="00000000" w:rsidP="00000000" w:rsidRDefault="00000000" w:rsidRPr="00000000" w14:paraId="00000008">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w:t>
            </w:r>
          </w:p>
        </w:tc>
        <w:tc>
          <w:tcPr/>
          <w:p w:rsidR="00000000" w:rsidDel="00000000" w:rsidP="00000000" w:rsidRDefault="00000000" w:rsidRPr="00000000" w14:paraId="0000000A">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official name:</w:t>
            </w:r>
          </w:p>
          <w:p w:rsidR="00000000" w:rsidDel="00000000" w:rsidP="00000000" w:rsidRDefault="00000000" w:rsidRPr="00000000" w14:paraId="0000000B">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Official legal form: </w:t>
            </w:r>
          </w:p>
          <w:p w:rsidR="00000000" w:rsidDel="00000000" w:rsidP="00000000" w:rsidRDefault="00000000" w:rsidRPr="00000000" w14:paraId="0000000C">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Statutory registration number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0D">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official address: </w:t>
            </w:r>
          </w:p>
          <w:p w:rsidR="00000000" w:rsidDel="00000000" w:rsidP="00000000" w:rsidRDefault="00000000" w:rsidRPr="00000000" w14:paraId="0000000E">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VAT registration number: </w:t>
            </w:r>
          </w:p>
          <w:p w:rsidR="00000000" w:rsidDel="00000000" w:rsidP="00000000" w:rsidRDefault="00000000" w:rsidRPr="00000000" w14:paraId="0000000F">
            <w:pPr>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w:t>
            </w:r>
          </w:p>
        </w:tc>
      </w:tr>
    </w:tbl>
    <w:p w:rsidR="00000000" w:rsidDel="00000000" w:rsidP="00000000" w:rsidRDefault="00000000" w:rsidRPr="00000000" w14:paraId="00000011">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I – Situation of exclusion concerning the person</w:t>
      </w:r>
      <w:r w:rsidDel="00000000" w:rsidR="00000000" w:rsidRPr="00000000">
        <w:rPr>
          <w:rtl w:val="0"/>
        </w:rPr>
      </w:r>
    </w:p>
    <w:tbl>
      <w:tblPr>
        <w:tblStyle w:val="Table2"/>
        <w:tblW w:w="97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38"/>
        <w:gridCol w:w="812"/>
        <w:gridCol w:w="705"/>
        <w:tblGridChange w:id="0">
          <w:tblGrid>
            <w:gridCol w:w="8238"/>
            <w:gridCol w:w="812"/>
            <w:gridCol w:w="705"/>
          </w:tblGrid>
        </w:tblGridChange>
      </w:tblGrid>
      <w:tr>
        <w:trPr>
          <w:cantSplit w:val="0"/>
          <w:tblHeader w:val="0"/>
        </w:trPr>
        <w:tc>
          <w:tcPr/>
          <w:p w:rsidR="00000000" w:rsidDel="00000000" w:rsidP="00000000" w:rsidRDefault="00000000" w:rsidRPr="00000000" w14:paraId="00000012">
            <w:pPr>
              <w:numPr>
                <w:ilvl w:val="0"/>
                <w:numId w:val="2"/>
              </w:numPr>
              <w:spacing w:after="40" w:before="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the above-mentioned person is in one of the following situations:</w:t>
            </w:r>
          </w:p>
        </w:tc>
        <w:tc>
          <w:tcPr/>
          <w:p w:rsidR="00000000" w:rsidDel="00000000" w:rsidP="00000000" w:rsidRDefault="00000000" w:rsidRPr="00000000" w14:paraId="00000013">
            <w:pPr>
              <w:spacing w:after="40" w:before="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14">
            <w:pPr>
              <w:spacing w:after="40" w:before="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cantSplit w:val="0"/>
          <w:tblHeader w:val="0"/>
        </w:trPr>
        <w:tc>
          <w:tcPr/>
          <w:p w:rsidR="00000000" w:rsidDel="00000000" w:rsidP="00000000" w:rsidRDefault="00000000" w:rsidRPr="00000000" w14:paraId="00000015">
            <w:pPr>
              <w:numPr>
                <w:ilvl w:val="0"/>
                <w:numId w:val="1"/>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p w:rsidR="00000000" w:rsidDel="00000000" w:rsidP="00000000" w:rsidRDefault="00000000" w:rsidRPr="00000000" w14:paraId="0000001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1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18">
            <w:pPr>
              <w:numPr>
                <w:ilvl w:val="0"/>
                <w:numId w:val="1"/>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bookmarkStart w:colFirst="0" w:colLast="0" w:name="gjdgxs" w:id="0"/>
          <w:bookmarkEnd w:id="0"/>
          <w:p w:rsidR="00000000" w:rsidDel="00000000" w:rsidP="00000000" w:rsidRDefault="00000000" w:rsidRPr="00000000" w14:paraId="0000001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1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1B">
            <w:pPr>
              <w:numPr>
                <w:ilvl w:val="0"/>
                <w:numId w:val="1"/>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gridSpan w:val="2"/>
          </w:tcPr>
          <w:p w:rsidR="00000000" w:rsidDel="00000000" w:rsidP="00000000" w:rsidRDefault="00000000" w:rsidRPr="00000000" w14:paraId="0000001C">
            <w:pPr>
              <w:spacing w:befor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E">
            <w:pPr>
              <w:spacing w:after="40" w:before="40" w:lineRule="auto"/>
              <w:ind w:left="709" w:firstLine="0"/>
              <w:jc w:val="both"/>
              <w:rPr>
                <w:rFonts w:ascii="Times New Roman" w:cs="Times New Roman" w:eastAsia="Times New Roman" w:hAnsi="Times New Roman"/>
                <w:sz w:val="24"/>
                <w:szCs w:val="24"/>
              </w:rPr>
            </w:pPr>
            <w:bookmarkStart w:colFirst="0" w:colLast="0" w:name="_30j0zll" w:id="1"/>
            <w:bookmarkEnd w:id="1"/>
            <w:r w:rsidDel="00000000" w:rsidR="00000000" w:rsidRPr="00000000">
              <w:rPr>
                <w:rFonts w:ascii="Times New Roman" w:cs="Times New Roman" w:eastAsia="Times New Roman" w:hAnsi="Times New Roman"/>
                <w:color w:val="000000"/>
                <w:sz w:val="24"/>
                <w:szCs w:val="24"/>
                <w:rtl w:val="0"/>
              </w:rPr>
              <w:t xml:space="preserve">(i) fraudulently or negligently misrepresenting information required for the verification of the absence of grounds for exclusion or the fulfilment of selection criteria or in the performance of a contract;</w:t>
            </w:r>
            <w:r w:rsidDel="00000000" w:rsidR="00000000" w:rsidRPr="00000000">
              <w:rPr>
                <w:rtl w:val="0"/>
              </w:rPr>
            </w:r>
          </w:p>
        </w:tc>
        <w:tc>
          <w:tcPr/>
          <w:p w:rsidR="00000000" w:rsidDel="00000000" w:rsidP="00000000" w:rsidRDefault="00000000" w:rsidRPr="00000000" w14:paraId="0000001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1">
            <w:pPr>
              <w:spacing w:after="40" w:before="40" w:lineRule="auto"/>
              <w:ind w:left="709" w:firstLine="0"/>
              <w:jc w:val="both"/>
              <w:rPr>
                <w:rFonts w:ascii="Times New Roman" w:cs="Times New Roman" w:eastAsia="Times New Roman" w:hAnsi="Times New Roman"/>
                <w:sz w:val="24"/>
                <w:szCs w:val="24"/>
              </w:rPr>
            </w:pPr>
            <w:bookmarkStart w:colFirst="0" w:colLast="0" w:name="_1fob9te" w:id="2"/>
            <w:bookmarkEnd w:id="2"/>
            <w:r w:rsidDel="00000000" w:rsidR="00000000" w:rsidRPr="00000000">
              <w:rPr>
                <w:rFonts w:ascii="Times New Roman" w:cs="Times New Roman" w:eastAsia="Times New Roman" w:hAnsi="Times New Roman"/>
                <w:color w:val="000000"/>
                <w:sz w:val="24"/>
                <w:szCs w:val="24"/>
                <w:rtl w:val="0"/>
              </w:rPr>
              <w:t xml:space="preserve">(ii) entering into agreement with other persons with the aim of distorting competition;</w:t>
            </w:r>
            <w:r w:rsidDel="00000000" w:rsidR="00000000" w:rsidRPr="00000000">
              <w:rPr>
                <w:rtl w:val="0"/>
              </w:rPr>
            </w:r>
          </w:p>
        </w:tc>
        <w:tc>
          <w:tcPr/>
          <w:p w:rsidR="00000000" w:rsidDel="00000000" w:rsidP="00000000" w:rsidRDefault="00000000" w:rsidRPr="00000000" w14:paraId="0000002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83" w:hRule="atLeast"/>
          <w:tblHeader w:val="0"/>
        </w:trPr>
        <w:tc>
          <w:tcPr/>
          <w:p w:rsidR="00000000" w:rsidDel="00000000" w:rsidP="00000000" w:rsidRDefault="00000000" w:rsidRPr="00000000" w14:paraId="00000024">
            <w:pPr>
              <w:spacing w:after="40" w:before="40" w:lineRule="auto"/>
              <w:ind w:left="709" w:firstLine="0"/>
              <w:jc w:val="both"/>
              <w:rPr>
                <w:rFonts w:ascii="Times New Roman" w:cs="Times New Roman" w:eastAsia="Times New Roman" w:hAnsi="Times New Roman"/>
                <w:sz w:val="24"/>
                <w:szCs w:val="24"/>
              </w:rPr>
            </w:pPr>
            <w:bookmarkStart w:colFirst="0" w:colLast="0" w:name="_3znysh7" w:id="3"/>
            <w:bookmarkEnd w:id="3"/>
            <w:r w:rsidDel="00000000" w:rsidR="00000000" w:rsidRPr="00000000">
              <w:rPr>
                <w:rFonts w:ascii="Times New Roman" w:cs="Times New Roman" w:eastAsia="Times New Roman" w:hAnsi="Times New Roman"/>
                <w:color w:val="000000"/>
                <w:sz w:val="24"/>
                <w:szCs w:val="24"/>
                <w:rtl w:val="0"/>
              </w:rPr>
              <w:t xml:space="preserve">(iii) violating intellectual property rights;</w:t>
            </w:r>
            <w:r w:rsidDel="00000000" w:rsidR="00000000" w:rsidRPr="00000000">
              <w:rPr>
                <w:rtl w:val="0"/>
              </w:rPr>
            </w:r>
          </w:p>
        </w:tc>
        <w:tc>
          <w:tcPr/>
          <w:p w:rsidR="00000000" w:rsidDel="00000000" w:rsidP="00000000" w:rsidRDefault="00000000" w:rsidRPr="00000000" w14:paraId="0000002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7">
            <w:pPr>
              <w:spacing w:after="40" w:before="40" w:lineRule="auto"/>
              <w:ind w:left="709" w:firstLine="0"/>
              <w:jc w:val="both"/>
              <w:rPr>
                <w:rFonts w:ascii="Times New Roman" w:cs="Times New Roman" w:eastAsia="Times New Roman" w:hAnsi="Times New Roman"/>
                <w:sz w:val="24"/>
                <w:szCs w:val="24"/>
              </w:rPr>
            </w:pPr>
            <w:bookmarkStart w:colFirst="0" w:colLast="0" w:name="_2et92p0" w:id="4"/>
            <w:bookmarkEnd w:id="4"/>
            <w:r w:rsidDel="00000000" w:rsidR="00000000" w:rsidRPr="00000000">
              <w:rPr>
                <w:rFonts w:ascii="Times New Roman" w:cs="Times New Roman" w:eastAsia="Times New Roman" w:hAnsi="Times New Roman"/>
                <w:color w:val="000000"/>
                <w:sz w:val="24"/>
                <w:szCs w:val="24"/>
                <w:rtl w:val="0"/>
              </w:rPr>
              <w:t xml:space="preserve">(iv) attempting to influence the decision-making process of the contracting authority during the award procedure;</w:t>
            </w:r>
            <w:r w:rsidDel="00000000" w:rsidR="00000000" w:rsidRPr="00000000">
              <w:rPr>
                <w:rtl w:val="0"/>
              </w:rPr>
            </w:r>
          </w:p>
        </w:tc>
        <w:tc>
          <w:tcPr/>
          <w:p w:rsidR="00000000" w:rsidDel="00000000" w:rsidP="00000000" w:rsidRDefault="00000000" w:rsidRPr="00000000" w14:paraId="0000002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A">
            <w:pPr>
              <w:spacing w:after="40" w:before="40" w:lineRule="auto"/>
              <w:ind w:left="709" w:firstLine="0"/>
              <w:jc w:val="both"/>
              <w:rPr>
                <w:rFonts w:ascii="Times New Roman" w:cs="Times New Roman" w:eastAsia="Times New Roman" w:hAnsi="Times New Roman"/>
                <w:color w:val="000000"/>
                <w:sz w:val="24"/>
                <w:szCs w:val="24"/>
              </w:rPr>
            </w:pPr>
            <w:bookmarkStart w:colFirst="0" w:colLast="0" w:name="_tyjcwt" w:id="5"/>
            <w:bookmarkEnd w:id="5"/>
            <w:r w:rsidDel="00000000" w:rsidR="00000000" w:rsidRPr="00000000">
              <w:rPr>
                <w:rFonts w:ascii="Times New Roman" w:cs="Times New Roman" w:eastAsia="Times New Roman" w:hAnsi="Times New Roman"/>
                <w:color w:val="000000"/>
                <w:sz w:val="24"/>
                <w:szCs w:val="24"/>
                <w:rtl w:val="0"/>
              </w:rPr>
              <w:t xml:space="preserve">(v) attempting to obtain confidential information that may confer upon it undue advantages in the award procedure</w:t>
            </w:r>
            <w:r w:rsidDel="00000000" w:rsidR="00000000" w:rsidRPr="00000000">
              <w:rPr>
                <w:rFonts w:ascii="Times New Roman" w:cs="Times New Roman" w:eastAsia="Times New Roman" w:hAnsi="Times New Roman"/>
                <w:b w:val="1"/>
                <w:i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02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D">
            <w:pPr>
              <w:numPr>
                <w:ilvl w:val="0"/>
                <w:numId w:val="1"/>
              </w:numPr>
              <w:spacing w:after="40" w:before="4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it has been established by a final judgement that the person is guilty of the following:</w:t>
            </w:r>
            <w:r w:rsidDel="00000000" w:rsidR="00000000" w:rsidRPr="00000000">
              <w:rPr>
                <w:rtl w:val="0"/>
              </w:rPr>
            </w:r>
          </w:p>
        </w:tc>
        <w:tc>
          <w:tcPr>
            <w:gridSpan w:val="2"/>
          </w:tcPr>
          <w:p w:rsidR="00000000" w:rsidDel="00000000" w:rsidP="00000000" w:rsidRDefault="00000000" w:rsidRPr="00000000" w14:paraId="0000002E">
            <w:pPr>
              <w:spacing w:befor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spacing w:after="40" w:before="40" w:lineRule="auto"/>
              <w:ind w:left="709" w:firstLine="0"/>
              <w:jc w:val="both"/>
              <w:rPr>
                <w:rFonts w:ascii="Times New Roman" w:cs="Times New Roman" w:eastAsia="Times New Roman" w:hAnsi="Times New Roman"/>
                <w:sz w:val="24"/>
                <w:szCs w:val="24"/>
              </w:rPr>
            </w:pPr>
            <w:bookmarkStart w:colFirst="0" w:colLast="0" w:name="_3dy6vkm" w:id="6"/>
            <w:bookmarkEnd w:id="6"/>
            <w:r w:rsidDel="00000000" w:rsidR="00000000" w:rsidRPr="00000000">
              <w:rPr>
                <w:rFonts w:ascii="Times New Roman" w:cs="Times New Roman" w:eastAsia="Times New Roman" w:hAnsi="Times New Roman"/>
                <w:color w:val="000000"/>
                <w:sz w:val="24"/>
                <w:szCs w:val="24"/>
                <w:rtl w:val="0"/>
              </w:rPr>
              <w:t xml:space="preserve">(i) fraud, within the meaning of Article 1 of the Convention on the protection of the European Communities' financial interests, drawn up by the Council Act of 26 July 1995;</w:t>
            </w:r>
            <w:r w:rsidDel="00000000" w:rsidR="00000000" w:rsidRPr="00000000">
              <w:rPr>
                <w:rtl w:val="0"/>
              </w:rPr>
            </w:r>
          </w:p>
        </w:tc>
        <w:tc>
          <w:tcPr/>
          <w:p w:rsidR="00000000" w:rsidDel="00000000" w:rsidP="00000000" w:rsidRDefault="00000000" w:rsidRPr="00000000" w14:paraId="0000003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3">
            <w:pPr>
              <w:spacing w:after="40" w:before="40" w:lineRule="auto"/>
              <w:ind w:left="709" w:firstLine="0"/>
              <w:jc w:val="both"/>
              <w:rPr>
                <w:rFonts w:ascii="Times New Roman" w:cs="Times New Roman" w:eastAsia="Times New Roman" w:hAnsi="Times New Roman"/>
                <w:sz w:val="24"/>
                <w:szCs w:val="24"/>
              </w:rPr>
            </w:pPr>
            <w:bookmarkStart w:colFirst="0" w:colLast="0" w:name="_1t3h5sf" w:id="7"/>
            <w:bookmarkEnd w:id="7"/>
            <w:r w:rsidDel="00000000" w:rsidR="00000000" w:rsidRPr="00000000">
              <w:rPr>
                <w:rFonts w:ascii="Times New Roman" w:cs="Times New Roman" w:eastAsia="Times New Roman" w:hAnsi="Times New Roman"/>
                <w:color w:val="000000"/>
                <w:sz w:val="24"/>
                <w:szCs w:val="24"/>
                <w:rtl w:val="0"/>
              </w:rPr>
              <w:t xml:space="preserve">(ii)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r w:rsidDel="00000000" w:rsidR="00000000" w:rsidRPr="00000000">
              <w:rPr>
                <w:rtl w:val="0"/>
              </w:rPr>
            </w:r>
          </w:p>
        </w:tc>
        <w:tc>
          <w:tcPr/>
          <w:p w:rsidR="00000000" w:rsidDel="00000000" w:rsidP="00000000" w:rsidRDefault="00000000" w:rsidRPr="00000000" w14:paraId="0000003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6">
            <w:pPr>
              <w:spacing w:after="40" w:before="40" w:lineRule="auto"/>
              <w:ind w:left="709" w:firstLine="0"/>
              <w:jc w:val="both"/>
              <w:rPr>
                <w:rFonts w:ascii="Times New Roman" w:cs="Times New Roman" w:eastAsia="Times New Roman" w:hAnsi="Times New Roman"/>
                <w:sz w:val="24"/>
                <w:szCs w:val="24"/>
              </w:rPr>
            </w:pPr>
            <w:bookmarkStart w:colFirst="0" w:colLast="0" w:name="_4d34og8" w:id="8"/>
            <w:bookmarkEnd w:id="8"/>
            <w:r w:rsidDel="00000000" w:rsidR="00000000" w:rsidRPr="00000000">
              <w:rPr>
                <w:rFonts w:ascii="Times New Roman" w:cs="Times New Roman" w:eastAsia="Times New Roman" w:hAnsi="Times New Roman"/>
                <w:color w:val="000000"/>
                <w:sz w:val="24"/>
                <w:szCs w:val="24"/>
                <w:rtl w:val="0"/>
              </w:rPr>
              <w:t xml:space="preserve">(iii) participation in a criminal organisation, as defined in Article 2 of Council Framework Decision 2008/841/JHA;</w:t>
            </w:r>
            <w:r w:rsidDel="00000000" w:rsidR="00000000" w:rsidRPr="00000000">
              <w:rPr>
                <w:rtl w:val="0"/>
              </w:rPr>
            </w:r>
          </w:p>
        </w:tc>
        <w:tc>
          <w:tcPr/>
          <w:p w:rsidR="00000000" w:rsidDel="00000000" w:rsidP="00000000" w:rsidRDefault="00000000" w:rsidRPr="00000000" w14:paraId="0000003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9">
            <w:pPr>
              <w:spacing w:after="40" w:before="40" w:lineRule="auto"/>
              <w:ind w:left="709" w:firstLine="0"/>
              <w:jc w:val="both"/>
              <w:rPr>
                <w:rFonts w:ascii="Times New Roman" w:cs="Times New Roman" w:eastAsia="Times New Roman" w:hAnsi="Times New Roman"/>
                <w:sz w:val="24"/>
                <w:szCs w:val="24"/>
              </w:rPr>
            </w:pPr>
            <w:bookmarkStart w:colFirst="0" w:colLast="0" w:name="_2s8eyo1" w:id="9"/>
            <w:bookmarkEnd w:id="9"/>
            <w:r w:rsidDel="00000000" w:rsidR="00000000" w:rsidRPr="00000000">
              <w:rPr>
                <w:rFonts w:ascii="Times New Roman" w:cs="Times New Roman" w:eastAsia="Times New Roman" w:hAnsi="Times New Roman"/>
                <w:color w:val="000000"/>
                <w:sz w:val="24"/>
                <w:szCs w:val="24"/>
                <w:rtl w:val="0"/>
              </w:rPr>
              <w:t xml:space="preserve">(iv) </w:t>
            </w:r>
            <w:r w:rsidDel="00000000" w:rsidR="00000000" w:rsidRPr="00000000">
              <w:rPr>
                <w:rFonts w:ascii="Times New Roman" w:cs="Times New Roman" w:eastAsia="Times New Roman" w:hAnsi="Times New Roman"/>
                <w:sz w:val="24"/>
                <w:szCs w:val="24"/>
                <w:rtl w:val="0"/>
              </w:rPr>
              <w:t xml:space="preserve">money laundering</w:t>
            </w:r>
            <w:r w:rsidDel="00000000" w:rsidR="00000000" w:rsidRPr="00000000">
              <w:rPr>
                <w:rFonts w:ascii="Times New Roman" w:cs="Times New Roman" w:eastAsia="Times New Roman" w:hAnsi="Times New Roman"/>
                <w:color w:val="000000"/>
                <w:sz w:val="24"/>
                <w:szCs w:val="24"/>
                <w:rtl w:val="0"/>
              </w:rPr>
              <w:t xml:space="preserve"> or</w:t>
            </w:r>
            <w:r w:rsidDel="00000000" w:rsidR="00000000" w:rsidRPr="00000000">
              <w:rPr>
                <w:rFonts w:ascii="Times New Roman" w:cs="Times New Roman" w:eastAsia="Times New Roman" w:hAnsi="Times New Roman"/>
                <w:sz w:val="24"/>
                <w:szCs w:val="24"/>
                <w:rtl w:val="0"/>
              </w:rPr>
              <w:t xml:space="preserve"> terrorist financing, </w:t>
            </w:r>
            <w:r w:rsidDel="00000000" w:rsidR="00000000" w:rsidRPr="00000000">
              <w:rPr>
                <w:rFonts w:ascii="Times New Roman" w:cs="Times New Roman" w:eastAsia="Times New Roman" w:hAnsi="Times New Roman"/>
                <w:color w:val="000000"/>
                <w:sz w:val="24"/>
                <w:szCs w:val="24"/>
                <w:rtl w:val="0"/>
              </w:rPr>
              <w:t xml:space="preserve">as defined in Article 1 of Directive 2005/60/EC of the European Parliament and of the Council;</w:t>
            </w:r>
            <w:r w:rsidDel="00000000" w:rsidR="00000000" w:rsidRPr="00000000">
              <w:rPr>
                <w:rtl w:val="0"/>
              </w:rPr>
            </w:r>
          </w:p>
        </w:tc>
        <w:tc>
          <w:tcPr/>
          <w:p w:rsidR="00000000" w:rsidDel="00000000" w:rsidP="00000000" w:rsidRDefault="00000000" w:rsidRPr="00000000" w14:paraId="0000003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C">
            <w:pPr>
              <w:spacing w:after="40" w:before="40" w:lineRule="auto"/>
              <w:ind w:left="709" w:firstLine="0"/>
              <w:jc w:val="both"/>
              <w:rPr>
                <w:rFonts w:ascii="Times New Roman" w:cs="Times New Roman" w:eastAsia="Times New Roman" w:hAnsi="Times New Roman"/>
                <w:sz w:val="24"/>
                <w:szCs w:val="24"/>
              </w:rPr>
            </w:pPr>
            <w:bookmarkStart w:colFirst="0" w:colLast="0" w:name="_17dp8vu" w:id="10"/>
            <w:bookmarkEnd w:id="10"/>
            <w:r w:rsidDel="00000000" w:rsidR="00000000" w:rsidRPr="00000000">
              <w:rPr>
                <w:rFonts w:ascii="Times New Roman" w:cs="Times New Roman" w:eastAsia="Times New Roman" w:hAnsi="Times New Roman"/>
                <w:color w:val="000000"/>
                <w:sz w:val="24"/>
                <w:szCs w:val="24"/>
                <w:rtl w:val="0"/>
              </w:rPr>
              <w:t xml:space="preserve">(v) </w:t>
            </w:r>
            <w:r w:rsidDel="00000000" w:rsidR="00000000" w:rsidRPr="00000000">
              <w:rPr>
                <w:rFonts w:ascii="Times New Roman" w:cs="Times New Roman" w:eastAsia="Times New Roman" w:hAnsi="Times New Roman"/>
                <w:sz w:val="24"/>
                <w:szCs w:val="24"/>
                <w:rtl w:val="0"/>
              </w:rPr>
              <w:t xml:space="preserve">terrorist-related offences</w:t>
            </w:r>
            <w:r w:rsidDel="00000000" w:rsidR="00000000" w:rsidRPr="00000000">
              <w:rPr>
                <w:rFonts w:ascii="Times New Roman" w:cs="Times New Roman" w:eastAsia="Times New Roman" w:hAnsi="Times New Roman"/>
                <w:color w:val="000000"/>
                <w:sz w:val="24"/>
                <w:szCs w:val="24"/>
                <w:rtl w:val="0"/>
              </w:rPr>
              <w:t xml:space="preserve"> or offences linked to terrorist activities, as defined in Articles 1 and 3 of Council Framework Decision 2002/475/JHA, respectively, or inciting, aiding, abetting or attempting to commit such offences, as referred to in Article 4 of that Decision;</w:t>
            </w:r>
            <w:r w:rsidDel="00000000" w:rsidR="00000000" w:rsidRPr="00000000">
              <w:rPr>
                <w:rtl w:val="0"/>
              </w:rPr>
            </w:r>
          </w:p>
        </w:tc>
        <w:tc>
          <w:tcPr/>
          <w:p w:rsidR="00000000" w:rsidDel="00000000" w:rsidP="00000000" w:rsidRDefault="00000000" w:rsidRPr="00000000" w14:paraId="0000003D">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E">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F">
            <w:pPr>
              <w:spacing w:after="40" w:before="40" w:lineRule="auto"/>
              <w:ind w:left="709" w:firstLine="0"/>
              <w:jc w:val="both"/>
              <w:rPr>
                <w:rFonts w:ascii="Times New Roman" w:cs="Times New Roman" w:eastAsia="Times New Roman" w:hAnsi="Times New Roman"/>
                <w:color w:val="000000"/>
                <w:sz w:val="24"/>
                <w:szCs w:val="24"/>
              </w:rPr>
            </w:pPr>
            <w:bookmarkStart w:colFirst="0" w:colLast="0" w:name="_3rdcrjn" w:id="11"/>
            <w:bookmarkEnd w:id="11"/>
            <w:r w:rsidDel="00000000" w:rsidR="00000000" w:rsidRPr="00000000">
              <w:rPr>
                <w:rFonts w:ascii="Times New Roman" w:cs="Times New Roman" w:eastAsia="Times New Roman" w:hAnsi="Times New Roman"/>
                <w:color w:val="000000"/>
                <w:sz w:val="24"/>
                <w:szCs w:val="24"/>
                <w:rtl w:val="0"/>
              </w:rPr>
              <w:t xml:space="preserve">(vi) </w:t>
            </w:r>
            <w:r w:rsidDel="00000000" w:rsidR="00000000" w:rsidRPr="00000000">
              <w:rPr>
                <w:rFonts w:ascii="Times New Roman" w:cs="Times New Roman" w:eastAsia="Times New Roman" w:hAnsi="Times New Roman"/>
                <w:sz w:val="24"/>
                <w:szCs w:val="24"/>
                <w:rtl w:val="0"/>
              </w:rPr>
              <w:t xml:space="preserve">child labour or other forms of trafficking in human beings </w:t>
            </w:r>
            <w:r w:rsidDel="00000000" w:rsidR="00000000" w:rsidRPr="00000000">
              <w:rPr>
                <w:rFonts w:ascii="Times New Roman" w:cs="Times New Roman" w:eastAsia="Times New Roman" w:hAnsi="Times New Roman"/>
                <w:color w:val="000000"/>
                <w:sz w:val="24"/>
                <w:szCs w:val="24"/>
                <w:rtl w:val="0"/>
              </w:rPr>
              <w:t xml:space="preserve">as defined in Article 2 of Directive 2011/36/EU of the European Parliament and of the Council;</w:t>
            </w:r>
          </w:p>
        </w:tc>
        <w:tc>
          <w:tcPr/>
          <w:p w:rsidR="00000000" w:rsidDel="00000000" w:rsidP="00000000" w:rsidRDefault="00000000" w:rsidRPr="00000000" w14:paraId="0000004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42">
            <w:pPr>
              <w:numPr>
                <w:ilvl w:val="0"/>
                <w:numId w:val="1"/>
              </w:numPr>
              <w:spacing w:after="40" w:before="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person has shown significant deficiencies in complying with main obligations in the performance of previous contract with the Contracting Authority, which has led to its early termination or to the application of liquidated damages or other contractual penalties; </w:t>
            </w:r>
            <w:r w:rsidDel="00000000" w:rsidR="00000000" w:rsidRPr="00000000">
              <w:rPr>
                <w:rtl w:val="0"/>
              </w:rPr>
            </w:r>
          </w:p>
        </w:tc>
        <w:tc>
          <w:tcPr/>
          <w:p w:rsidR="00000000" w:rsidDel="00000000" w:rsidP="00000000" w:rsidRDefault="00000000" w:rsidRPr="00000000" w14:paraId="0000004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45">
            <w:pPr>
              <w:numPr>
                <w:ilvl w:val="0"/>
                <w:numId w:val="1"/>
              </w:numPr>
              <w:spacing w:after="40" w:before="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for the situations of grave professional misconduct, fraud, corruption, other criminal offences, significant deficiencies in the performance of the contract or irregularity, the applicant is subject to:</w:t>
            </w:r>
          </w:p>
          <w:p w:rsidR="00000000" w:rsidDel="00000000" w:rsidP="00000000" w:rsidRDefault="00000000" w:rsidRPr="00000000" w14:paraId="00000046">
            <w:pPr>
              <w:numPr>
                <w:ilvl w:val="0"/>
                <w:numId w:val="4"/>
              </w:numPr>
              <w:spacing w:after="40" w:before="4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facts established in the context of audits or investigations;</w:t>
            </w:r>
          </w:p>
          <w:p w:rsidR="00000000" w:rsidDel="00000000" w:rsidP="00000000" w:rsidRDefault="00000000" w:rsidRPr="00000000" w14:paraId="00000047">
            <w:pPr>
              <w:numPr>
                <w:ilvl w:val="0"/>
                <w:numId w:val="4"/>
              </w:numPr>
              <w:spacing w:after="40" w:before="4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non-final administrative decisions which may include disciplinary measures taken by the competent supervisory body responsible for the verification of the application of standards of professional ethics. </w:t>
            </w:r>
          </w:p>
        </w:tc>
        <w:tc>
          <w:tcPr/>
          <w:p w:rsidR="00000000" w:rsidDel="00000000" w:rsidP="00000000" w:rsidRDefault="00000000" w:rsidRPr="00000000" w14:paraId="0000004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412" w:hRule="atLeast"/>
          <w:tblHeader w:val="0"/>
        </w:trPr>
        <w:tc>
          <w:tcPr/>
          <w:p w:rsidR="00000000" w:rsidDel="00000000" w:rsidP="00000000" w:rsidRDefault="00000000" w:rsidRPr="00000000" w14:paraId="0000004A">
            <w:pPr>
              <w:numPr>
                <w:ilvl w:val="0"/>
                <w:numId w:val="1"/>
              </w:numPr>
              <w:spacing w:after="40" w:before="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Contractor or any of their employees and affiliates utilize:</w:t>
            </w:r>
          </w:p>
        </w:tc>
        <w:tc>
          <w:tcPr>
            <w:gridSpan w:val="2"/>
          </w:tcPr>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D">
            <w:pPr>
              <w:spacing w:after="40" w:before="40" w:lineRule="auto"/>
              <w:ind w:left="709" w:hanging="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w:t>
              <w:tab/>
              <w:t xml:space="preserve">sexual exploitative or abusive practices, or are involved in any other humiliating, degrading or exploitative behavior;</w:t>
            </w:r>
          </w:p>
        </w:tc>
        <w:tc>
          <w:tcPr/>
          <w:p w:rsidR="00000000" w:rsidDel="00000000" w:rsidP="00000000" w:rsidRDefault="00000000" w:rsidRPr="00000000" w14:paraId="0000004E">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50">
            <w:pPr>
              <w:spacing w:after="40" w:before="40" w:lineRule="auto"/>
              <w:ind w:left="709" w:hanging="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ii.</w:t>
              <w:tab/>
              <w:t xml:space="preserve">child labour or are involved in any other practice that can harm or is likely to cause harm to children. The ILO Convention No. 138 on the minimum age for admission to employment and work (Version 1973) guides the Contracting Authority with the following definitions: 1) Hazardous Work: work which is likely to jeopardize children’s physical, mental or moral health, safety or morals should not be done by anyone under the age of 18; and 2) Light Work: children between the ages of 13 and 15 years old may do light work, as long as it does not threaten their health and safety, or hinder their education or vocational orientation and training.</w:t>
            </w:r>
          </w:p>
        </w:tc>
        <w:tc>
          <w:tcPr/>
          <w:p w:rsidR="00000000" w:rsidDel="00000000" w:rsidP="00000000" w:rsidRDefault="00000000" w:rsidRPr="00000000" w14:paraId="0000005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5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53">
      <w:pPr>
        <w:spacing w:after="240" w:before="360" w:lineRule="auto"/>
        <w:jc w:val="both"/>
        <w:rPr>
          <w:rFonts w:ascii="Times" w:cs="Times" w:eastAsia="Times" w:hAnsi="Times"/>
          <w:b w:val="1"/>
          <w:sz w:val="24"/>
          <w:szCs w:val="24"/>
        </w:rPr>
      </w:pPr>
      <w:bookmarkStart w:colFirst="0" w:colLast="0" w:name="_26in1rg" w:id="12"/>
      <w:bookmarkEnd w:id="12"/>
      <w:r w:rsidDel="00000000" w:rsidR="00000000" w:rsidRPr="00000000">
        <w:rPr>
          <w:rFonts w:ascii="Times" w:cs="Times" w:eastAsia="Times" w:hAnsi="Times"/>
          <w:b w:val="1"/>
          <w:smallCaps w:val="1"/>
          <w:sz w:val="24"/>
          <w:szCs w:val="24"/>
          <w:rtl w:val="0"/>
        </w:rPr>
        <w:t xml:space="preserve">II – Situations of exclusion concerning natural persons with power of representation, decision-making or control over the legal person</w:t>
      </w:r>
      <w:r w:rsidDel="00000000" w:rsidR="00000000" w:rsidRPr="00000000">
        <w:rPr>
          <w:rtl w:val="0"/>
        </w:rPr>
      </w:r>
    </w:p>
    <w:p w:rsidR="00000000" w:rsidDel="00000000" w:rsidP="00000000" w:rsidRDefault="00000000" w:rsidRPr="00000000" w14:paraId="00000054">
      <w:pPr>
        <w:spacing w:after="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u w:val="single"/>
          <w:rtl w:val="0"/>
        </w:rPr>
        <w:t xml:space="preserve">Not applicable to natural persons and local authorities</w:t>
      </w:r>
      <w:r w:rsidDel="00000000" w:rsidR="00000000" w:rsidRPr="00000000">
        <w:rPr>
          <w:rtl w:val="0"/>
        </w:rPr>
      </w:r>
    </w:p>
    <w:tbl>
      <w:tblPr>
        <w:tblStyle w:val="Table3"/>
        <w:tblW w:w="96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47"/>
        <w:gridCol w:w="670"/>
        <w:gridCol w:w="614"/>
        <w:gridCol w:w="630"/>
        <w:tblGridChange w:id="0">
          <w:tblGrid>
            <w:gridCol w:w="7747"/>
            <w:gridCol w:w="670"/>
            <w:gridCol w:w="614"/>
            <w:gridCol w:w="630"/>
          </w:tblGrid>
        </w:tblGridChange>
      </w:tblGrid>
      <w:tr>
        <w:trPr>
          <w:cantSplit w:val="0"/>
          <w:tblHeader w:val="0"/>
        </w:trPr>
        <w:tc>
          <w:tcPr>
            <w:vAlign w:val="center"/>
          </w:tcPr>
          <w:p w:rsidR="00000000" w:rsidDel="00000000" w:rsidP="00000000" w:rsidRDefault="00000000" w:rsidRPr="00000000" w14:paraId="00000055">
            <w:pPr>
              <w:numPr>
                <w:ilvl w:val="0"/>
                <w:numId w:val="2"/>
              </w:numPr>
              <w:spacing w:after="40" w:before="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a natural person who is a member of the administrative, management or supervisory body of the above-mentioned legal person, or who has powers of representation, decision or control with regard to the above-mentioned legal person (this covers company directors, members of management or supervisory bodies, and cases where one natural person holds a majority of shares) is in one of the following situations: </w:t>
            </w:r>
          </w:p>
        </w:tc>
        <w:tc>
          <w:tcPr/>
          <w:p w:rsidR="00000000" w:rsidDel="00000000" w:rsidP="00000000" w:rsidRDefault="00000000" w:rsidRPr="00000000" w14:paraId="0000005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5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5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vAlign w:val="center"/>
          </w:tcPr>
          <w:p w:rsidR="00000000" w:rsidDel="00000000" w:rsidP="00000000" w:rsidRDefault="00000000" w:rsidRPr="00000000" w14:paraId="00000059">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(c) above (grave professional misconduct)</w:t>
            </w:r>
          </w:p>
        </w:tc>
        <w:tc>
          <w:tcPr>
            <w:vAlign w:val="center"/>
          </w:tcPr>
          <w:p w:rsidR="00000000" w:rsidDel="00000000" w:rsidP="00000000" w:rsidRDefault="00000000" w:rsidRPr="00000000" w14:paraId="0000005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5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5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5D">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(d) above (fraud, corruption or other criminal offence)</w:t>
            </w:r>
          </w:p>
        </w:tc>
        <w:tc>
          <w:tcPr>
            <w:vAlign w:val="center"/>
          </w:tcPr>
          <w:p w:rsidR="00000000" w:rsidDel="00000000" w:rsidP="00000000" w:rsidRDefault="00000000" w:rsidRPr="00000000" w14:paraId="0000005E">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5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61">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(e) above (significant deficiencies in performance of a contract )</w:t>
            </w:r>
          </w:p>
        </w:tc>
        <w:tc>
          <w:tcPr>
            <w:vAlign w:val="center"/>
          </w:tcPr>
          <w:p w:rsidR="00000000" w:rsidDel="00000000" w:rsidP="00000000" w:rsidRDefault="00000000" w:rsidRPr="00000000" w14:paraId="0000006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6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65">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(f) above (irregularity)</w:t>
            </w:r>
          </w:p>
        </w:tc>
        <w:tc>
          <w:tcPr>
            <w:vAlign w:val="center"/>
          </w:tcPr>
          <w:p w:rsidR="00000000" w:rsidDel="00000000" w:rsidP="00000000" w:rsidRDefault="00000000" w:rsidRPr="00000000" w14:paraId="0000006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6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69">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(g) above (sexual exploitative or abusive practices and child labour)</w:t>
            </w:r>
          </w:p>
        </w:tc>
        <w:tc>
          <w:tcPr>
            <w:vAlign w:val="center"/>
          </w:tcPr>
          <w:p w:rsidR="00000000" w:rsidDel="00000000" w:rsidP="00000000" w:rsidRDefault="00000000" w:rsidRPr="00000000" w14:paraId="0000006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6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6D">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III – Situations of exclusion concerning natural or legal persons assuming unlimited liability for the debts of the legal person</w:t>
      </w:r>
      <w:r w:rsidDel="00000000" w:rsidR="00000000" w:rsidRPr="00000000">
        <w:rPr>
          <w:rtl w:val="0"/>
        </w:rPr>
      </w:r>
    </w:p>
    <w:tbl>
      <w:tblPr>
        <w:tblStyle w:val="Table4"/>
        <w:tblW w:w="96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47"/>
        <w:gridCol w:w="670"/>
        <w:gridCol w:w="614"/>
        <w:gridCol w:w="630"/>
        <w:tblGridChange w:id="0">
          <w:tblGrid>
            <w:gridCol w:w="7747"/>
            <w:gridCol w:w="670"/>
            <w:gridCol w:w="614"/>
            <w:gridCol w:w="630"/>
          </w:tblGrid>
        </w:tblGridChange>
      </w:tblGrid>
      <w:tr>
        <w:trPr>
          <w:cantSplit w:val="0"/>
          <w:tblHeader w:val="0"/>
        </w:trPr>
        <w:tc>
          <w:tcPr/>
          <w:p w:rsidR="00000000" w:rsidDel="00000000" w:rsidP="00000000" w:rsidRDefault="00000000" w:rsidRPr="00000000" w14:paraId="0000006E">
            <w:pPr>
              <w:numPr>
                <w:ilvl w:val="0"/>
                <w:numId w:val="2"/>
              </w:numPr>
              <w:spacing w:after="40" w:before="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a natural or legal person that assumes unlimited liability for the debts of the above-mentioned legal person is in one of the following situations: </w:t>
            </w:r>
          </w:p>
        </w:tc>
        <w:tc>
          <w:tcPr/>
          <w:p w:rsidR="00000000" w:rsidDel="00000000" w:rsidP="00000000" w:rsidRDefault="00000000" w:rsidRPr="00000000" w14:paraId="0000006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7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7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vAlign w:val="center"/>
          </w:tcPr>
          <w:p w:rsidR="00000000" w:rsidDel="00000000" w:rsidP="00000000" w:rsidRDefault="00000000" w:rsidRPr="00000000" w14:paraId="00000072">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(a) above (bankruptcy)</w:t>
            </w:r>
          </w:p>
        </w:tc>
        <w:tc>
          <w:tcPr>
            <w:vAlign w:val="center"/>
          </w:tcPr>
          <w:p w:rsidR="00000000" w:rsidDel="00000000" w:rsidP="00000000" w:rsidRDefault="00000000" w:rsidRPr="00000000" w14:paraId="0000007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7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7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76">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(b) above (breach in payment of taxes or social security contributions)</w:t>
            </w:r>
          </w:p>
        </w:tc>
        <w:tc>
          <w:tcPr>
            <w:vAlign w:val="center"/>
          </w:tcPr>
          <w:p w:rsidR="00000000" w:rsidDel="00000000" w:rsidP="00000000" w:rsidRDefault="00000000" w:rsidRPr="00000000" w14:paraId="0000007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7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7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7A">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IV – Grounds for rejection from this procedure</w:t>
      </w:r>
      <w:r w:rsidDel="00000000" w:rsidR="00000000" w:rsidRPr="00000000">
        <w:rPr>
          <w:rtl w:val="0"/>
        </w:rPr>
      </w:r>
    </w:p>
    <w:tbl>
      <w:tblPr>
        <w:tblStyle w:val="Table5"/>
        <w:tblW w:w="97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72"/>
        <w:gridCol w:w="670"/>
        <w:gridCol w:w="614"/>
        <w:tblGridChange w:id="0">
          <w:tblGrid>
            <w:gridCol w:w="8472"/>
            <w:gridCol w:w="670"/>
            <w:gridCol w:w="614"/>
          </w:tblGrid>
        </w:tblGridChange>
      </w:tblGrid>
      <w:tr>
        <w:trPr>
          <w:cantSplit w:val="0"/>
          <w:tblHeader w:val="0"/>
        </w:trPr>
        <w:tc>
          <w:tcPr/>
          <w:p w:rsidR="00000000" w:rsidDel="00000000" w:rsidP="00000000" w:rsidRDefault="00000000" w:rsidRPr="00000000" w14:paraId="0000007B">
            <w:pPr>
              <w:numPr>
                <w:ilvl w:val="0"/>
                <w:numId w:val="2"/>
              </w:numPr>
              <w:spacing w:after="40" w:before="40" w:lineRule="auto"/>
              <w:ind w:left="499" w:hanging="3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the above-mentioned person:</w:t>
            </w:r>
          </w:p>
        </w:tc>
        <w:tc>
          <w:tcPr/>
          <w:p w:rsidR="00000000" w:rsidDel="00000000" w:rsidP="00000000" w:rsidRDefault="00000000" w:rsidRPr="00000000" w14:paraId="000000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cantSplit w:val="0"/>
          <w:tblHeader w:val="0"/>
        </w:trPr>
        <w:tc>
          <w:tcPr/>
          <w:p w:rsidR="00000000" w:rsidDel="00000000" w:rsidP="00000000" w:rsidRDefault="00000000" w:rsidRPr="00000000" w14:paraId="0000007E">
            <w:pPr>
              <w:numPr>
                <w:ilvl w:val="0"/>
                <w:numId w:val="1"/>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distorted competition by being previously involved in the preparation of procurement documents for this procurement procedure. </w:t>
            </w:r>
          </w:p>
        </w:tc>
        <w:tc>
          <w:tcPr/>
          <w:p w:rsidR="00000000" w:rsidDel="00000000" w:rsidP="00000000" w:rsidRDefault="00000000" w:rsidRPr="00000000" w14:paraId="0000007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8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81">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 – Remedial measures</w:t>
      </w:r>
      <w:r w:rsidDel="00000000" w:rsidR="00000000" w:rsidRPr="00000000">
        <w:rPr>
          <w:rtl w:val="0"/>
        </w:rPr>
      </w:r>
    </w:p>
    <w:p w:rsidR="00000000" w:rsidDel="00000000" w:rsidP="00000000" w:rsidRDefault="00000000" w:rsidRPr="00000000" w14:paraId="0000008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the person declares one of the </w:t>
      </w:r>
      <w:r w:rsidDel="00000000" w:rsidR="00000000" w:rsidRPr="00000000">
        <w:rPr>
          <w:rFonts w:ascii="Times New Roman" w:cs="Times New Roman" w:eastAsia="Times New Roman" w:hAnsi="Times New Roman"/>
          <w:color w:val="000000"/>
          <w:sz w:val="24"/>
          <w:szCs w:val="24"/>
          <w:rtl w:val="0"/>
        </w:rPr>
        <w:t xml:space="preserve">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The relevant documentary evidence which illustrates the remedial measures taken must be provided in annex to this declaration. This does not apply for situations referred in point (d) of this declaration.</w:t>
      </w:r>
    </w:p>
    <w:p w:rsidR="00000000" w:rsidDel="00000000" w:rsidP="00000000" w:rsidRDefault="00000000" w:rsidRPr="00000000" w14:paraId="00000083">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VI – Evidence upon request</w:t>
      </w:r>
      <w:r w:rsidDel="00000000" w:rsidR="00000000" w:rsidRPr="00000000">
        <w:rPr>
          <w:rtl w:val="0"/>
        </w:rPr>
      </w:r>
    </w:p>
    <w:p w:rsidR="00000000" w:rsidDel="00000000" w:rsidP="00000000" w:rsidRDefault="00000000" w:rsidRPr="00000000" w14:paraId="00000084">
      <w:pPr>
        <w:ind w:firstLine="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Upon request and within the time limit set by the Contracting Authority the person must provide information on the persons that are members of the administrative, management or supervisory body. It must also provide the following evidence concerning the person itself and concerning the natural or legal persons which assume unlimited liability for the debt of the person:</w:t>
      </w:r>
    </w:p>
    <w:p w:rsidR="00000000" w:rsidDel="00000000" w:rsidP="00000000" w:rsidRDefault="00000000" w:rsidRPr="00000000" w14:paraId="00000085">
      <w:pPr>
        <w:spacing w:after="280" w:before="28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086">
      <w:pPr>
        <w:tabs>
          <w:tab w:val="left" w:leader="none" w:pos="-480"/>
          <w:tab w:val="left" w:leader="none" w:pos="-142"/>
          <w:tab w:val="left" w:leader="none" w:pos="426"/>
          <w:tab w:val="left" w:leader="none" w:pos="4680"/>
          <w:tab w:val="left" w:leader="none" w:pos="8400"/>
        </w:tabs>
        <w:spacing w:after="280" w:before="28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087">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rsidR="00000000" w:rsidDel="00000000" w:rsidP="00000000" w:rsidRDefault="00000000" w:rsidRPr="00000000" w14:paraId="00000088">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signatory declares that the person has already provided the documentary evidence for a previous procedure and confirms that there has been no change in its situation: </w:t>
      </w:r>
    </w:p>
    <w:tbl>
      <w:tblPr>
        <w:tblStyle w:val="Table6"/>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4678"/>
        <w:tblGridChange w:id="0">
          <w:tblGrid>
            <w:gridCol w:w="4786"/>
            <w:gridCol w:w="4678"/>
          </w:tblGrid>
        </w:tblGridChange>
      </w:tblGrid>
      <w:tr>
        <w:trPr>
          <w:cantSplit w:val="0"/>
          <w:tblHeader w:val="0"/>
        </w:trPr>
        <w:tc>
          <w:tcPr/>
          <w:p w:rsidR="00000000" w:rsidDel="00000000" w:rsidP="00000000" w:rsidRDefault="00000000" w:rsidRPr="00000000" w14:paraId="00000089">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Document</w:t>
            </w:r>
            <w:r w:rsidDel="00000000" w:rsidR="00000000" w:rsidRPr="00000000">
              <w:rPr>
                <w:rtl w:val="0"/>
              </w:rPr>
            </w:r>
          </w:p>
        </w:tc>
        <w:tc>
          <w:tcPr/>
          <w:p w:rsidR="00000000" w:rsidDel="00000000" w:rsidP="00000000" w:rsidRDefault="00000000" w:rsidRPr="00000000" w14:paraId="0000008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r w:rsidDel="00000000" w:rsidR="00000000" w:rsidRPr="00000000">
              <w:rPr>
                <w:rtl w:val="0"/>
              </w:rPr>
            </w:r>
          </w:p>
        </w:tc>
      </w:tr>
      <w:tr>
        <w:trPr>
          <w:cantSplit w:val="0"/>
          <w:tblHeader w:val="0"/>
        </w:trPr>
        <w:tc>
          <w:tcPr/>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highlight w:val="lightGray"/>
                <w:rtl w:val="0"/>
              </w:rPr>
              <w:t xml:space="preserve">Insert as many lines as necessary.</w:t>
            </w:r>
            <w:r w:rsidDel="00000000" w:rsidR="00000000" w:rsidRPr="00000000">
              <w:rPr>
                <w:rtl w:val="0"/>
              </w:rPr>
            </w:r>
          </w:p>
        </w:tc>
        <w:tc>
          <w:tcPr/>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8D">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VII – Selection criteria</w:t>
      </w:r>
      <w:r w:rsidDel="00000000" w:rsidR="00000000" w:rsidRPr="00000000">
        <w:rPr>
          <w:rFonts w:ascii="Times" w:cs="Times" w:eastAsia="Times" w:hAnsi="Times"/>
          <w:b w:val="1"/>
          <w:i w:val="1"/>
          <w:smallCaps w:val="1"/>
          <w:sz w:val="24"/>
          <w:szCs w:val="24"/>
          <w:rtl w:val="0"/>
        </w:rPr>
        <w:t xml:space="preserve"> </w:t>
      </w:r>
      <w:r w:rsidDel="00000000" w:rsidR="00000000" w:rsidRPr="00000000">
        <w:rPr>
          <w:rtl w:val="0"/>
        </w:rPr>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63"/>
        <w:gridCol w:w="709"/>
        <w:gridCol w:w="567"/>
        <w:gridCol w:w="708"/>
        <w:tblGridChange w:id="0">
          <w:tblGrid>
            <w:gridCol w:w="7763"/>
            <w:gridCol w:w="709"/>
            <w:gridCol w:w="567"/>
            <w:gridCol w:w="708"/>
          </w:tblGrid>
        </w:tblGridChange>
      </w:tblGrid>
      <w:tr>
        <w:trPr>
          <w:cantSplit w:val="0"/>
          <w:tblHeader w:val="0"/>
        </w:trPr>
        <w:tc>
          <w:tcPr/>
          <w:p w:rsidR="00000000" w:rsidDel="00000000" w:rsidP="00000000" w:rsidRDefault="00000000" w:rsidRPr="00000000" w14:paraId="0000008E">
            <w:pPr>
              <w:numPr>
                <w:ilvl w:val="0"/>
                <w:numId w:val="2"/>
              </w:numPr>
              <w:spacing w:before="0" w:lineRule="auto"/>
              <w:ind w:left="499" w:hanging="3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the above-mentioned person complies with the selection criteria applicable to it individually as provided in the tender specifications:</w:t>
            </w:r>
          </w:p>
        </w:tc>
        <w:tc>
          <w:tcPr/>
          <w:p w:rsidR="00000000" w:rsidDel="00000000" w:rsidP="00000000" w:rsidRDefault="00000000" w:rsidRPr="00000000" w14:paraId="0000008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9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9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p w:rsidR="00000000" w:rsidDel="00000000" w:rsidP="00000000" w:rsidRDefault="00000000" w:rsidRPr="00000000" w14:paraId="00000092">
            <w:pPr>
              <w:numPr>
                <w:ilvl w:val="0"/>
                <w:numId w:val="3"/>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the legal and regulatory capacity to pursue the professional activity needed for performing the contract;</w:t>
            </w:r>
          </w:p>
        </w:tc>
        <w:tc>
          <w:tcPr/>
          <w:p w:rsidR="00000000" w:rsidDel="00000000" w:rsidP="00000000" w:rsidRDefault="00000000" w:rsidRPr="00000000" w14:paraId="0000009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96">
            <w:pPr>
              <w:numPr>
                <w:ilvl w:val="0"/>
                <w:numId w:val="3"/>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fulfills the applicable economic and financial criteria indicated in item 3 of the tender submission form;</w:t>
            </w:r>
          </w:p>
        </w:tc>
        <w:tc>
          <w:tcPr/>
          <w:p w:rsidR="00000000" w:rsidDel="00000000" w:rsidP="00000000" w:rsidRDefault="00000000" w:rsidRPr="00000000" w14:paraId="0000009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9A">
            <w:pPr>
              <w:numPr>
                <w:ilvl w:val="0"/>
                <w:numId w:val="3"/>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fulfills the applicable technical and professional criteria indicated in items 4, 5 and 6 of the tender submission form.</w:t>
            </w:r>
          </w:p>
        </w:tc>
        <w:tc>
          <w:tcPr/>
          <w:p w:rsidR="00000000" w:rsidDel="00000000" w:rsidP="00000000" w:rsidRDefault="00000000" w:rsidRPr="00000000" w14:paraId="0000009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D">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9E">
      <w:pPr>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before="0" w:lineRule="auto"/>
        <w:rPr>
          <w:rFonts w:ascii="Times New Roman" w:cs="Times New Roman" w:eastAsia="Times New Roman" w:hAnsi="Times New Roman"/>
          <w:sz w:val="24"/>
          <w:szCs w:val="24"/>
        </w:rPr>
      </w:pPr>
      <w:r w:rsidDel="00000000" w:rsidR="00000000" w:rsidRPr="00000000">
        <w:rPr>
          <w:rtl w:val="0"/>
        </w:rPr>
      </w:r>
    </w:p>
    <w:tbl>
      <w:tblPr>
        <w:tblStyle w:val="Table8"/>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63"/>
        <w:gridCol w:w="709"/>
        <w:gridCol w:w="567"/>
        <w:gridCol w:w="708"/>
        <w:tblGridChange w:id="0">
          <w:tblGrid>
            <w:gridCol w:w="7763"/>
            <w:gridCol w:w="709"/>
            <w:gridCol w:w="567"/>
            <w:gridCol w:w="708"/>
          </w:tblGrid>
        </w:tblGridChange>
      </w:tblGrid>
      <w:tr>
        <w:trPr>
          <w:cantSplit w:val="0"/>
          <w:tblHeader w:val="0"/>
        </w:trPr>
        <w:tc>
          <w:tcPr/>
          <w:p w:rsidR="00000000" w:rsidDel="00000000" w:rsidP="00000000" w:rsidRDefault="00000000" w:rsidRPr="00000000" w14:paraId="000000A0">
            <w:pPr>
              <w:numPr>
                <w:ilvl w:val="0"/>
                <w:numId w:val="2"/>
              </w:numPr>
              <w:spacing w:before="0" w:lineRule="auto"/>
              <w:ind w:left="499" w:hanging="3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if the above-mentioned person is the </w:t>
            </w:r>
            <w:r w:rsidDel="00000000" w:rsidR="00000000" w:rsidRPr="00000000">
              <w:rPr>
                <w:rFonts w:ascii="Times New Roman" w:cs="Times New Roman" w:eastAsia="Times New Roman" w:hAnsi="Times New Roman"/>
                <w:b w:val="1"/>
                <w:sz w:val="24"/>
                <w:szCs w:val="24"/>
                <w:rtl w:val="0"/>
              </w:rPr>
              <w:t xml:space="preserve">sole tenderer</w:t>
            </w:r>
            <w:r w:rsidDel="00000000" w:rsidR="00000000" w:rsidRPr="00000000">
              <w:rPr>
                <w:rFonts w:ascii="Times New Roman" w:cs="Times New Roman" w:eastAsia="Times New Roman" w:hAnsi="Times New Roman"/>
                <w:sz w:val="24"/>
                <w:szCs w:val="24"/>
                <w:rtl w:val="0"/>
              </w:rPr>
              <w:t xml:space="preserve"> or the </w:t>
            </w:r>
            <w:r w:rsidDel="00000000" w:rsidR="00000000" w:rsidRPr="00000000">
              <w:rPr>
                <w:rFonts w:ascii="Times New Roman" w:cs="Times New Roman" w:eastAsia="Times New Roman" w:hAnsi="Times New Roman"/>
                <w:b w:val="1"/>
                <w:sz w:val="24"/>
                <w:szCs w:val="24"/>
                <w:rtl w:val="0"/>
              </w:rPr>
              <w:t xml:space="preserve">leader in case of joint tender</w:t>
            </w:r>
            <w:r w:rsidDel="00000000" w:rsidR="00000000" w:rsidRPr="00000000">
              <w:rPr>
                <w:rFonts w:ascii="Times New Roman" w:cs="Times New Roman" w:eastAsia="Times New Roman" w:hAnsi="Times New Roman"/>
                <w:sz w:val="24"/>
                <w:szCs w:val="24"/>
                <w:rtl w:val="0"/>
              </w:rPr>
              <w:t xml:space="preserve">, declares that:</w:t>
            </w:r>
          </w:p>
        </w:tc>
        <w:tc>
          <w:tcPr/>
          <w:p w:rsidR="00000000" w:rsidDel="00000000" w:rsidP="00000000" w:rsidRDefault="00000000" w:rsidRPr="00000000" w14:paraId="000000A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A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A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p w:rsidR="00000000" w:rsidDel="00000000" w:rsidP="00000000" w:rsidRDefault="00000000" w:rsidRPr="00000000" w14:paraId="000000A4">
            <w:pPr>
              <w:numPr>
                <w:ilvl w:val="0"/>
                <w:numId w:val="3"/>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tenderer, including all members of the group in case of joint tender and including subcontractors if applicable, complies with all the selection criteria for which a consolidated asseessment will be made as provided in the tender specifications.</w:t>
            </w:r>
          </w:p>
        </w:tc>
        <w:tc>
          <w:tcPr/>
          <w:p w:rsidR="00000000" w:rsidDel="00000000" w:rsidP="00000000" w:rsidRDefault="00000000" w:rsidRPr="00000000" w14:paraId="000000A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A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A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A8">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VIII – Evidence for selection</w:t>
      </w:r>
      <w:r w:rsidDel="00000000" w:rsidR="00000000" w:rsidRPr="00000000">
        <w:rPr>
          <w:rtl w:val="0"/>
        </w:rPr>
      </w:r>
    </w:p>
    <w:p w:rsidR="00000000" w:rsidDel="00000000" w:rsidP="00000000" w:rsidRDefault="00000000" w:rsidRPr="00000000" w14:paraId="000000A9">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signatory declares that the above-mentioned person is able to provide the necessary supporting documents listed in the relevant sections of the tender specifications and which are not available electronically upon request and without delay.</w:t>
      </w:r>
    </w:p>
    <w:p w:rsidR="00000000" w:rsidDel="00000000" w:rsidP="00000000" w:rsidRDefault="00000000" w:rsidRPr="00000000" w14:paraId="000000AA">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rsidR="00000000" w:rsidDel="00000000" w:rsidP="00000000" w:rsidRDefault="00000000" w:rsidRPr="00000000" w14:paraId="000000AB">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signatory declares that the person has already provided the documentary evidence for a previous procedure and confirms that there has been no change in its situation: </w:t>
      </w:r>
    </w:p>
    <w:tbl>
      <w:tblPr>
        <w:tblStyle w:val="Table9"/>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4678"/>
        <w:tblGridChange w:id="0">
          <w:tblGrid>
            <w:gridCol w:w="4786"/>
            <w:gridCol w:w="4678"/>
          </w:tblGrid>
        </w:tblGridChange>
      </w:tblGrid>
      <w:tr>
        <w:trPr>
          <w:cantSplit w:val="0"/>
          <w:tblHeader w:val="0"/>
        </w:trPr>
        <w:tc>
          <w:tcPr/>
          <w:p w:rsidR="00000000" w:rsidDel="00000000" w:rsidP="00000000" w:rsidRDefault="00000000" w:rsidRPr="00000000" w14:paraId="000000A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Document</w:t>
            </w:r>
            <w:r w:rsidDel="00000000" w:rsidR="00000000" w:rsidRPr="00000000">
              <w:rPr>
                <w:rtl w:val="0"/>
              </w:rPr>
            </w:r>
          </w:p>
        </w:tc>
        <w:tc>
          <w:tcPr/>
          <w:p w:rsidR="00000000" w:rsidDel="00000000" w:rsidP="00000000" w:rsidRDefault="00000000" w:rsidRPr="00000000" w14:paraId="000000AD">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r w:rsidDel="00000000" w:rsidR="00000000" w:rsidRPr="00000000">
              <w:rPr>
                <w:rtl w:val="0"/>
              </w:rPr>
            </w:r>
          </w:p>
        </w:tc>
      </w:tr>
      <w:tr>
        <w:trPr>
          <w:cantSplit w:val="0"/>
          <w:tblHeader w:val="0"/>
        </w:trPr>
        <w:tc>
          <w:tcPr/>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highlight w:val="lightGray"/>
                <w:rtl w:val="0"/>
              </w:rPr>
              <w:t xml:space="preserve">Insert as many lines as necessary.</w:t>
            </w:r>
            <w:r w:rsidDel="00000000" w:rsidR="00000000" w:rsidRPr="00000000">
              <w:rPr>
                <w:rtl w:val="0"/>
              </w:rPr>
            </w:r>
          </w:p>
        </w:tc>
        <w:tc>
          <w:tcPr/>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B0">
      <w:pPr>
        <w:spacing w:after="40" w:before="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40" w:before="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r w:rsidDel="00000000" w:rsidR="00000000" w:rsidRPr="00000000">
        <w:rPr>
          <w:rtl w:val="0"/>
        </w:rPr>
      </w:r>
    </w:p>
    <w:p w:rsidR="00000000" w:rsidDel="00000000" w:rsidP="00000000" w:rsidRDefault="00000000" w:rsidRPr="00000000" w14:paraId="000000B2">
      <w:pPr>
        <w:spacing w:after="40" w:before="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tabs>
          <w:tab w:val="left" w:leader="none" w:pos="4395"/>
          <w:tab w:val="left" w:leader="none" w:pos="7797"/>
        </w:tabs>
        <w:spacing w:after="40" w:before="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name</w:t>
        <w:tab/>
        <w:t xml:space="preserve">Date</w:t>
        <w:tab/>
        <w:t xml:space="preserve">Signature</w:t>
      </w:r>
    </w:p>
    <w:p w:rsidR="00000000" w:rsidDel="00000000" w:rsidP="00000000" w:rsidRDefault="00000000" w:rsidRPr="00000000" w14:paraId="000000B4">
      <w:pPr>
        <w:spacing w:before="240" w:lineRule="auto"/>
        <w:jc w:val="both"/>
        <w:rPr>
          <w:rFonts w:ascii="Times New Roman" w:cs="Times New Roman" w:eastAsia="Times New Roman" w:hAnsi="Times New Roman"/>
          <w:sz w:val="22"/>
          <w:szCs w:val="22"/>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134" w:top="1134" w:left="1134" w:right="1418"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320"/>
        <w:tab w:val="right" w:leader="none" w:pos="8640"/>
        <w:tab w:val="right" w:leader="none" w:pos="8647"/>
      </w:tabs>
      <w:spacing w:after="0" w:lineRule="auto"/>
      <w:ind w:right="6"/>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drawing>
        <wp:inline distB="114300" distT="114300" distL="114300" distR="114300">
          <wp:extent cx="6771323" cy="62865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771323" cy="62865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360" w:hanging="360"/>
      </w:pPr>
      <w:rPr>
        <w:vertAlign w:val="baseline"/>
      </w:rPr>
    </w:lvl>
    <w:lvl w:ilvl="1">
      <w:start w:val="0"/>
      <w:numFmt w:val="decimal"/>
      <w:lvlText w:val=""/>
      <w:lvlJc w:val="left"/>
      <w:pPr>
        <w:ind w:left="0" w:firstLine="0"/>
      </w:pPr>
      <w:rPr>
        <w:vertAlign w:val="baseline"/>
      </w:rPr>
    </w:lvl>
    <w:lvl w:ilvl="2">
      <w:start w:val="0"/>
      <w:numFmt w:val="decimal"/>
      <w:lvlText w:val=""/>
      <w:lvlJc w:val="left"/>
      <w:pPr>
        <w:ind w:left="0" w:firstLine="0"/>
      </w:pPr>
      <w:rPr>
        <w:vertAlign w:val="baseline"/>
      </w:rPr>
    </w:lvl>
    <w:lvl w:ilvl="3">
      <w:start w:val="0"/>
      <w:numFmt w:val="decimal"/>
      <w:lvlText w:val=""/>
      <w:lvlJc w:val="left"/>
      <w:pPr>
        <w:ind w:left="0" w:firstLine="0"/>
      </w:pPr>
      <w:rPr>
        <w:vertAlign w:val="baseline"/>
      </w:rPr>
    </w:lvl>
    <w:lvl w:ilvl="4">
      <w:start w:val="0"/>
      <w:numFmt w:val="decimal"/>
      <w:lvlText w:val=""/>
      <w:lvlJc w:val="left"/>
      <w:pPr>
        <w:ind w:left="0" w:firstLine="0"/>
      </w:pPr>
      <w:rPr>
        <w:vertAlign w:val="baseline"/>
      </w:rPr>
    </w:lvl>
    <w:lvl w:ilvl="5">
      <w:start w:val="0"/>
      <w:numFmt w:val="decimal"/>
      <w:lvlText w:val=""/>
      <w:lvlJc w:val="left"/>
      <w:pPr>
        <w:ind w:left="0" w:firstLine="0"/>
      </w:pPr>
      <w:rPr>
        <w:vertAlign w:val="baseline"/>
      </w:rPr>
    </w:lvl>
    <w:lvl w:ilvl="6">
      <w:start w:val="0"/>
      <w:numFmt w:val="decimal"/>
      <w:lvlText w:val=""/>
      <w:lvlJc w:val="left"/>
      <w:pPr>
        <w:ind w:left="0" w:firstLine="0"/>
      </w:pPr>
      <w:rPr>
        <w:vertAlign w:val="baseline"/>
      </w:rPr>
    </w:lvl>
    <w:lvl w:ilvl="7">
      <w:start w:val="0"/>
      <w:numFmt w:val="decimal"/>
      <w:lvlText w:val=""/>
      <w:lvlJc w:val="left"/>
      <w:pPr>
        <w:ind w:left="0" w:firstLine="0"/>
      </w:pPr>
      <w:rPr>
        <w:vertAlign w:val="baseline"/>
      </w:rPr>
    </w:lvl>
    <w:lvl w:ilvl="8">
      <w:start w:val="0"/>
      <w:numFmt w:val="decimal"/>
      <w:lvlText w:val=""/>
      <w:lvlJc w:val="left"/>
      <w:pPr>
        <w:ind w:left="0" w:firstLine="0"/>
      </w:pPr>
      <w:rPr>
        <w:vertAlign w:val="baseline"/>
      </w:rPr>
    </w:lvl>
  </w:abstractNum>
  <w:abstractNum w:abstractNumId="2">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cs="Courier New" w:eastAsia="Courier New" w:hAnsi="Courier New"/>
        <w:vertAlign w:val="baseline"/>
      </w:rPr>
    </w:lvl>
    <w:lvl w:ilvl="2">
      <w:start w:val="1"/>
      <w:numFmt w:val="bullet"/>
      <w:lvlText w:val="▪"/>
      <w:lvlJc w:val="left"/>
      <w:pPr>
        <w:ind w:left="1942" w:hanging="360"/>
      </w:pPr>
      <w:rPr>
        <w:rFonts w:ascii="Noto Sans Symbols" w:cs="Noto Sans Symbols" w:eastAsia="Noto Sans Symbols" w:hAnsi="Noto Sans Symbols"/>
        <w:vertAlign w:val="baseline"/>
      </w:rPr>
    </w:lvl>
    <w:lvl w:ilvl="3">
      <w:start w:val="1"/>
      <w:numFmt w:val="bullet"/>
      <w:lvlText w:val="●"/>
      <w:lvlJc w:val="left"/>
      <w:pPr>
        <w:ind w:left="2662" w:hanging="360"/>
      </w:pPr>
      <w:rPr>
        <w:rFonts w:ascii="Noto Sans Symbols" w:cs="Noto Sans Symbols" w:eastAsia="Noto Sans Symbols" w:hAnsi="Noto Sans Symbols"/>
        <w:vertAlign w:val="baseline"/>
      </w:rPr>
    </w:lvl>
    <w:lvl w:ilvl="4">
      <w:start w:val="1"/>
      <w:numFmt w:val="bullet"/>
      <w:lvlText w:val="o"/>
      <w:lvlJc w:val="left"/>
      <w:pPr>
        <w:ind w:left="3382" w:hanging="360"/>
      </w:pPr>
      <w:rPr>
        <w:rFonts w:ascii="Courier New" w:cs="Courier New" w:eastAsia="Courier New" w:hAnsi="Courier New"/>
        <w:vertAlign w:val="baseline"/>
      </w:rPr>
    </w:lvl>
    <w:lvl w:ilvl="5">
      <w:start w:val="1"/>
      <w:numFmt w:val="bullet"/>
      <w:lvlText w:val="▪"/>
      <w:lvlJc w:val="left"/>
      <w:pPr>
        <w:ind w:left="4102" w:hanging="360"/>
      </w:pPr>
      <w:rPr>
        <w:rFonts w:ascii="Noto Sans Symbols" w:cs="Noto Sans Symbols" w:eastAsia="Noto Sans Symbols" w:hAnsi="Noto Sans Symbols"/>
        <w:vertAlign w:val="baseline"/>
      </w:rPr>
    </w:lvl>
    <w:lvl w:ilvl="6">
      <w:start w:val="1"/>
      <w:numFmt w:val="bullet"/>
      <w:lvlText w:val="●"/>
      <w:lvlJc w:val="left"/>
      <w:pPr>
        <w:ind w:left="4822" w:hanging="360"/>
      </w:pPr>
      <w:rPr>
        <w:rFonts w:ascii="Noto Sans Symbols" w:cs="Noto Sans Symbols" w:eastAsia="Noto Sans Symbols" w:hAnsi="Noto Sans Symbols"/>
        <w:vertAlign w:val="baseline"/>
      </w:rPr>
    </w:lvl>
    <w:lvl w:ilvl="7">
      <w:start w:val="1"/>
      <w:numFmt w:val="bullet"/>
      <w:lvlText w:val="o"/>
      <w:lvlJc w:val="left"/>
      <w:pPr>
        <w:ind w:left="5542" w:hanging="360"/>
      </w:pPr>
      <w:rPr>
        <w:rFonts w:ascii="Courier New" w:cs="Courier New" w:eastAsia="Courier New" w:hAnsi="Courier New"/>
        <w:vertAlign w:val="baseline"/>
      </w:rPr>
    </w:lvl>
    <w:lvl w:ilvl="8">
      <w:start w:val="1"/>
      <w:numFmt w:val="bullet"/>
      <w:lvlText w:val="▪"/>
      <w:lvlJc w:val="left"/>
      <w:pPr>
        <w:ind w:left="6262" w:hanging="360"/>
      </w:pPr>
      <w:rPr>
        <w:rFonts w:ascii="Noto Sans Symbols" w:cs="Noto Sans Symbols" w:eastAsia="Noto Sans Symbols" w:hAnsi="Noto Sans Symbols"/>
        <w:vertAlign w:val="baseline"/>
      </w:rPr>
    </w:lvl>
  </w:abstractNum>
  <w:abstractNum w:abstractNumId="3">
    <w:lvl w:ilvl="0">
      <w:start w:val="1"/>
      <w:numFmt w:val="lowerLetter"/>
      <w:lvlText w:val="(%1)"/>
      <w:lvlJc w:val="left"/>
      <w:pPr>
        <w:ind w:left="360" w:hanging="360"/>
      </w:pPr>
      <w:rPr>
        <w:vertAlign w:val="baseline"/>
      </w:rPr>
    </w:lvl>
    <w:lvl w:ilvl="1">
      <w:start w:val="0"/>
      <w:numFmt w:val="decimal"/>
      <w:lvlText w:val=""/>
      <w:lvlJc w:val="left"/>
      <w:pPr>
        <w:ind w:left="0" w:firstLine="0"/>
      </w:pPr>
      <w:rPr>
        <w:vertAlign w:val="baseline"/>
      </w:rPr>
    </w:lvl>
    <w:lvl w:ilvl="2">
      <w:start w:val="0"/>
      <w:numFmt w:val="decimal"/>
      <w:lvlText w:val=""/>
      <w:lvlJc w:val="left"/>
      <w:pPr>
        <w:ind w:left="0" w:firstLine="0"/>
      </w:pPr>
      <w:rPr>
        <w:vertAlign w:val="baseline"/>
      </w:rPr>
    </w:lvl>
    <w:lvl w:ilvl="3">
      <w:start w:val="0"/>
      <w:numFmt w:val="decimal"/>
      <w:lvlText w:val=""/>
      <w:lvlJc w:val="left"/>
      <w:pPr>
        <w:ind w:left="0" w:firstLine="0"/>
      </w:pPr>
      <w:rPr>
        <w:vertAlign w:val="baseline"/>
      </w:rPr>
    </w:lvl>
    <w:lvl w:ilvl="4">
      <w:start w:val="0"/>
      <w:numFmt w:val="decimal"/>
      <w:lvlText w:val=""/>
      <w:lvlJc w:val="left"/>
      <w:pPr>
        <w:ind w:left="0" w:firstLine="0"/>
      </w:pPr>
      <w:rPr>
        <w:vertAlign w:val="baseline"/>
      </w:rPr>
    </w:lvl>
    <w:lvl w:ilvl="5">
      <w:start w:val="0"/>
      <w:numFmt w:val="decimal"/>
      <w:lvlText w:val=""/>
      <w:lvlJc w:val="left"/>
      <w:pPr>
        <w:ind w:left="0" w:firstLine="0"/>
      </w:pPr>
      <w:rPr>
        <w:vertAlign w:val="baseline"/>
      </w:rPr>
    </w:lvl>
    <w:lvl w:ilvl="6">
      <w:start w:val="0"/>
      <w:numFmt w:val="decimal"/>
      <w:lvlText w:val=""/>
      <w:lvlJc w:val="left"/>
      <w:pPr>
        <w:ind w:left="0" w:firstLine="0"/>
      </w:pPr>
      <w:rPr>
        <w:vertAlign w:val="baseline"/>
      </w:rPr>
    </w:lvl>
    <w:lvl w:ilvl="7">
      <w:start w:val="0"/>
      <w:numFmt w:val="decimal"/>
      <w:lvlText w:val=""/>
      <w:lvlJc w:val="left"/>
      <w:pPr>
        <w:ind w:left="0" w:firstLine="0"/>
      </w:pPr>
      <w:rPr>
        <w:vertAlign w:val="baseline"/>
      </w:rPr>
    </w:lvl>
    <w:lvl w:ilvl="8">
      <w:start w:val="0"/>
      <w:numFmt w:val="decimal"/>
      <w:lvlText w:val=""/>
      <w:lvlJc w:val="left"/>
      <w:pPr>
        <w:ind w:left="0" w:firstLine="0"/>
      </w:pPr>
      <w:rPr>
        <w:vertAlign w:val="baseline"/>
      </w:rPr>
    </w:lvl>
  </w:abstractNum>
  <w:abstractNum w:abstractNumId="4">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