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A3D19" w14:textId="3A339121" w:rsidR="00934C75" w:rsidRDefault="00934C75" w:rsidP="00636C00">
      <w:pPr>
        <w:jc w:val="center"/>
        <w:rPr>
          <w:b/>
          <w:bCs/>
        </w:rPr>
      </w:pPr>
      <w:r>
        <w:rPr>
          <w:b/>
          <w:bCs/>
        </w:rPr>
        <w:t>Annex F:</w:t>
      </w:r>
    </w:p>
    <w:p w14:paraId="033E7662" w14:textId="1C1E4888" w:rsidR="00DC5403" w:rsidRPr="00DC5403" w:rsidRDefault="00021D78" w:rsidP="00636C00">
      <w:pPr>
        <w:jc w:val="center"/>
        <w:rPr>
          <w:b/>
          <w:bCs/>
        </w:rPr>
      </w:pPr>
      <w:r>
        <w:rPr>
          <w:b/>
          <w:bCs/>
        </w:rPr>
        <w:t xml:space="preserve">ToR </w:t>
      </w:r>
      <w:r w:rsidRPr="00DC5403">
        <w:rPr>
          <w:b/>
          <w:bCs/>
        </w:rPr>
        <w:t>for</w:t>
      </w:r>
      <w:r w:rsidR="00DC5403" w:rsidRPr="00DC5403">
        <w:rPr>
          <w:b/>
          <w:bCs/>
        </w:rPr>
        <w:t xml:space="preserve"> </w:t>
      </w:r>
      <w:r w:rsidR="00AD3DAF">
        <w:rPr>
          <w:b/>
          <w:bCs/>
        </w:rPr>
        <w:t>provision of construction rental machinery services</w:t>
      </w:r>
    </w:p>
    <w:p w14:paraId="0E504294" w14:textId="77777777" w:rsidR="00DC5403" w:rsidRPr="00DC5403" w:rsidRDefault="00DC5403" w:rsidP="00636C00">
      <w:pPr>
        <w:jc w:val="both"/>
        <w:rPr>
          <w:b/>
          <w:bCs/>
        </w:rPr>
      </w:pPr>
      <w:r w:rsidRPr="00DC5403">
        <w:rPr>
          <w:b/>
          <w:bCs/>
        </w:rPr>
        <w:t>1. Background</w:t>
      </w:r>
    </w:p>
    <w:p w14:paraId="76827806" w14:textId="77777777" w:rsidR="00383B1D" w:rsidRPr="00383B1D" w:rsidRDefault="00383B1D" w:rsidP="00636C00">
      <w:pPr>
        <w:jc w:val="both"/>
      </w:pPr>
      <w:r w:rsidRPr="00383B1D">
        <w:t>DRC is launching ITB-AFG-AFC-015-2024 for the provision of construction rental machinery services to support various construction and development activities, such as check dams, irrigation canals, intakes, watershed infrastructure, and water supply schemes, in three regions (Central, South, and West).</w:t>
      </w:r>
    </w:p>
    <w:p w14:paraId="06436EF3" w14:textId="65B38829" w:rsidR="00383B1D" w:rsidRPr="00383B1D" w:rsidRDefault="00383B1D" w:rsidP="00636C00">
      <w:pPr>
        <w:jc w:val="both"/>
      </w:pPr>
      <w:r w:rsidRPr="00383B1D">
        <w:t xml:space="preserve">The objective is to </w:t>
      </w:r>
      <w:r>
        <w:t>rent</w:t>
      </w:r>
      <w:r w:rsidRPr="00383B1D">
        <w:t xml:space="preserve"> several types of machinery and equipment required for earthworks, material transport, compaction, concrete mixing, and other related construction tasks. The rental will include machinery operators, fuel, maintenance, and transportation to and from the work sites, with payment terms aligned with units specified in the Annexes for each lot.</w:t>
      </w:r>
    </w:p>
    <w:p w14:paraId="624FC664" w14:textId="6AD24F15" w:rsidR="00DC5403" w:rsidRPr="00DC5403" w:rsidRDefault="00DC5403" w:rsidP="00636C00">
      <w:pPr>
        <w:jc w:val="both"/>
        <w:rPr>
          <w:b/>
          <w:bCs/>
        </w:rPr>
      </w:pPr>
      <w:r w:rsidRPr="00DC5403">
        <w:rPr>
          <w:b/>
          <w:bCs/>
        </w:rPr>
        <w:t>2. Objective</w:t>
      </w:r>
    </w:p>
    <w:p w14:paraId="297ADD58" w14:textId="7B369080" w:rsidR="00DC5403" w:rsidRPr="00DC5403" w:rsidRDefault="00DC5403" w:rsidP="00636C00">
      <w:pPr>
        <w:jc w:val="both"/>
      </w:pPr>
      <w:r w:rsidRPr="00DC5403">
        <w:t xml:space="preserve">The purpose of this ToR is to outline the specifications, requirements, and responsibilities for the provision of rental construction machinery to support the DRC's </w:t>
      </w:r>
      <w:r w:rsidR="008858F0">
        <w:t>infrastructure</w:t>
      </w:r>
      <w:r w:rsidR="00EB03A9">
        <w:t xml:space="preserve"> and construction activities</w:t>
      </w:r>
      <w:r w:rsidRPr="00DC5403">
        <w:t>.</w:t>
      </w:r>
    </w:p>
    <w:p w14:paraId="698A4BD6" w14:textId="77777777" w:rsidR="00DC5403" w:rsidRPr="00DC5403" w:rsidRDefault="00DC5403" w:rsidP="00636C00">
      <w:pPr>
        <w:jc w:val="both"/>
        <w:rPr>
          <w:b/>
          <w:bCs/>
        </w:rPr>
      </w:pPr>
      <w:r w:rsidRPr="00DC5403">
        <w:rPr>
          <w:b/>
          <w:bCs/>
        </w:rPr>
        <w:t>3. Scope of Work</w:t>
      </w:r>
    </w:p>
    <w:p w14:paraId="798C4CE5" w14:textId="348AE639" w:rsidR="00DC5403" w:rsidRDefault="00DC5403" w:rsidP="00636C00">
      <w:pPr>
        <w:jc w:val="both"/>
      </w:pPr>
      <w:bookmarkStart w:id="0" w:name="_Hlk178601919"/>
      <w:r w:rsidRPr="00DC5403">
        <w:t>The contractor is required to provide the following machinery, including skilled operators</w:t>
      </w:r>
      <w:r w:rsidR="00105E5E">
        <w:t xml:space="preserve"> who have </w:t>
      </w:r>
      <w:r w:rsidR="00D473AF">
        <w:t>valid</w:t>
      </w:r>
      <w:r w:rsidR="00105E5E">
        <w:t xml:space="preserve"> </w:t>
      </w:r>
      <w:r w:rsidR="001237DD">
        <w:t>license,</w:t>
      </w:r>
      <w:r w:rsidRPr="00DC5403">
        <w:t xml:space="preserve"> fuel, transportation, maintenance, and other necessary costs, as per the specific requirements detailed below. The duration of rental is dependent on the needs at each site, and payment will be based on the unit rates (hour, day, month</w:t>
      </w:r>
      <w:r w:rsidR="00EB03A9">
        <w:t>, km)</w:t>
      </w:r>
      <w:r w:rsidRPr="00DC5403">
        <w:t xml:space="preserve"> as specified in the </w:t>
      </w:r>
      <w:r w:rsidR="00383B1D">
        <w:t>Annexes</w:t>
      </w:r>
      <w:r w:rsidRPr="00DC5403">
        <w:t xml:space="preserve"> for each lot.</w:t>
      </w:r>
    </w:p>
    <w:p w14:paraId="7C8ABC4E" w14:textId="63BD8EA4" w:rsidR="00D91941" w:rsidRDefault="00D91941" w:rsidP="00636C00">
      <w:pPr>
        <w:jc w:val="both"/>
      </w:pPr>
      <w:r>
        <w:t>Following the signing of the contract with the selected suppliers, DRC will submit Purchase Orders (POs) based on the needs of each site within the contract duration and Bill of Quantities (BoQ) items. The PO may contain one or some of the BoQ requested items. Upon receiving the PO, suppliers must deliver the requested rental machinery within 5-7 days to the location specified in the PO.</w:t>
      </w:r>
    </w:p>
    <w:p w14:paraId="168DA702" w14:textId="7166EB3A" w:rsidR="00D91941" w:rsidRDefault="00D91941" w:rsidP="00636C00">
      <w:pPr>
        <w:jc w:val="both"/>
      </w:pPr>
      <w:r>
        <w:t>Suppliers must ensure that all safety and environmental compliance measures are considered during the delivery of the requested items. DRC does not take any responsibility for the safety and environmental compliance of the rental machinery at the infrastructure site.</w:t>
      </w:r>
    </w:p>
    <w:p w14:paraId="166EEC93" w14:textId="77777777" w:rsidR="00DC5403" w:rsidRPr="006B6F57" w:rsidRDefault="00DC5403" w:rsidP="00636C00">
      <w:pPr>
        <w:jc w:val="both"/>
        <w:rPr>
          <w:b/>
          <w:bCs/>
        </w:rPr>
      </w:pPr>
      <w:r w:rsidRPr="006B6F57">
        <w:rPr>
          <w:b/>
          <w:bCs/>
        </w:rPr>
        <w:t>4. Machinery Requirements</w:t>
      </w:r>
    </w:p>
    <w:p w14:paraId="40AA5B7F" w14:textId="31F91AF8" w:rsidR="00E0241D" w:rsidRDefault="00DC5403" w:rsidP="00636C00">
      <w:pPr>
        <w:pStyle w:val="ListParagraph"/>
        <w:numPr>
          <w:ilvl w:val="1"/>
          <w:numId w:val="39"/>
        </w:numPr>
        <w:jc w:val="both"/>
      </w:pPr>
      <w:r w:rsidRPr="00324602">
        <w:t>Excavators</w:t>
      </w:r>
      <w:r w:rsidR="00F911C8" w:rsidRPr="00324602">
        <w:t xml:space="preserve">, </w:t>
      </w:r>
      <w:r w:rsidRPr="00324602">
        <w:t>Standard Excavator</w:t>
      </w:r>
      <w:r w:rsidR="00F911C8" w:rsidRPr="00324602">
        <w:t xml:space="preserve">, </w:t>
      </w:r>
      <w:r w:rsidR="00983707" w:rsidRPr="00324602">
        <w:t>Excavator</w:t>
      </w:r>
      <w:r w:rsidRPr="00324602">
        <w:t xml:space="preserve"> with Jackhammer</w:t>
      </w:r>
      <w:r w:rsidR="00F911C8" w:rsidRPr="00324602">
        <w:t xml:space="preserve">, </w:t>
      </w:r>
      <w:r w:rsidRPr="00324602">
        <w:t>Dump Trucks</w:t>
      </w:r>
      <w:r w:rsidR="00F911C8" w:rsidRPr="00324602">
        <w:t xml:space="preserve">, </w:t>
      </w:r>
      <w:r w:rsidRPr="00324602">
        <w:t>Standard Dump Truck</w:t>
      </w:r>
      <w:r w:rsidR="00F911C8" w:rsidRPr="00324602">
        <w:t xml:space="preserve">, </w:t>
      </w:r>
      <w:r w:rsidR="3432D54E" w:rsidRPr="00324602">
        <w:t>Dump Truck</w:t>
      </w:r>
      <w:r w:rsidR="00F91E85" w:rsidRPr="00324602">
        <w:t xml:space="preserve"> Similar to Mazda</w:t>
      </w:r>
      <w:r w:rsidR="00F911C8" w:rsidRPr="00324602">
        <w:t xml:space="preserve">, </w:t>
      </w:r>
      <w:r w:rsidR="00723F14" w:rsidRPr="001237DD">
        <w:t>ECG</w:t>
      </w:r>
      <w:r w:rsidR="00C5205C" w:rsidRPr="001237DD">
        <w:t xml:space="preserve"> (Electric Control Gear)</w:t>
      </w:r>
      <w:r w:rsidR="00723F14" w:rsidRPr="001237DD">
        <w:t xml:space="preserve"> Dump </w:t>
      </w:r>
      <w:r w:rsidR="00723F14" w:rsidRPr="00324602">
        <w:t>truck</w:t>
      </w:r>
      <w:r w:rsidR="00F911C8" w:rsidRPr="00324602">
        <w:t>,</w:t>
      </w:r>
      <w:r w:rsidRPr="00324602">
        <w:t xml:space="preserve"> Soil Compactors</w:t>
      </w:r>
      <w:r w:rsidR="00F911C8" w:rsidRPr="00324602">
        <w:t xml:space="preserve">, </w:t>
      </w:r>
      <w:r w:rsidRPr="00324602">
        <w:t>Small Soil Compactor</w:t>
      </w:r>
      <w:r w:rsidR="00F911C8" w:rsidRPr="00324602">
        <w:t>,</w:t>
      </w:r>
      <w:bookmarkStart w:id="1" w:name="_Hlk179886855"/>
      <w:bookmarkStart w:id="2" w:name="_Hlk180489074"/>
      <w:r w:rsidR="00324602" w:rsidRPr="00324602">
        <w:t xml:space="preserve"> </w:t>
      </w:r>
      <w:r w:rsidRPr="00324602">
        <w:t>Walk-Behind 2-Ton Roller Compactor</w:t>
      </w:r>
      <w:bookmarkEnd w:id="1"/>
      <w:r w:rsidR="00F911C8" w:rsidRPr="00324602">
        <w:t>,</w:t>
      </w:r>
      <w:bookmarkEnd w:id="2"/>
      <w:r w:rsidRPr="00324602">
        <w:t xml:space="preserve"> Concrete Mixers</w:t>
      </w:r>
      <w:r w:rsidR="00F911C8" w:rsidRPr="00324602">
        <w:t>,</w:t>
      </w:r>
      <w:r w:rsidR="00C5205C" w:rsidRPr="00324602">
        <w:t xml:space="preserve"> </w:t>
      </w:r>
      <w:r w:rsidRPr="00324602">
        <w:t>Mobile Concrete Mixer</w:t>
      </w:r>
      <w:r w:rsidR="00F911C8" w:rsidRPr="00324602">
        <w:t>,</w:t>
      </w:r>
      <w:r w:rsidR="00324602" w:rsidRPr="00324602">
        <w:t xml:space="preserve"> </w:t>
      </w:r>
      <w:r w:rsidRPr="00324602">
        <w:t>Concrete Mixer</w:t>
      </w:r>
      <w:r w:rsidR="00F911C8" w:rsidRPr="00324602">
        <w:t>,</w:t>
      </w:r>
      <w:r w:rsidRPr="00324602">
        <w:t xml:space="preserve"> Concrete Vibrator</w:t>
      </w:r>
      <w:r w:rsidR="00F911C8" w:rsidRPr="00324602">
        <w:t xml:space="preserve">, </w:t>
      </w:r>
      <w:r w:rsidRPr="00324602">
        <w:t>Petrol Concrete Vibrator</w:t>
      </w:r>
      <w:r w:rsidR="00F911C8" w:rsidRPr="00324602">
        <w:t xml:space="preserve">, </w:t>
      </w:r>
      <w:r w:rsidR="3432D54E" w:rsidRPr="00324602">
        <w:t>Vibrator</w:t>
      </w:r>
      <w:r w:rsidR="00F91E85" w:rsidRPr="00324602">
        <w:t xml:space="preserve"> similar to Rubin EY20 Gasoline</w:t>
      </w:r>
      <w:r w:rsidR="00AB0E5B" w:rsidRPr="00324602">
        <w:t>4.</w:t>
      </w:r>
      <w:r w:rsidRPr="00324602">
        <w:t>6. Water Tanker</w:t>
      </w:r>
      <w:r w:rsidR="001237DD">
        <w:t xml:space="preserve">, </w:t>
      </w:r>
      <w:r w:rsidRPr="00324602">
        <w:t xml:space="preserve">Construction Lifting </w:t>
      </w:r>
      <w:r w:rsidR="001237DD" w:rsidRPr="00324602">
        <w:t>Machine</w:t>
      </w:r>
      <w:r w:rsidR="001237DD">
        <w:t>,</w:t>
      </w:r>
      <w:r w:rsidR="001237DD" w:rsidRPr="00324602">
        <w:t xml:space="preserve"> Tractors</w:t>
      </w:r>
      <w:r w:rsidR="001237DD">
        <w:t xml:space="preserve">, similar </w:t>
      </w:r>
      <w:r w:rsidRPr="00324602">
        <w:t>Ton</w:t>
      </w:r>
      <w:r w:rsidR="00B84E31" w:rsidRPr="00324602">
        <w:t>is</w:t>
      </w:r>
      <w:r w:rsidRPr="00324602">
        <w:t xml:space="preserve"> Vehicle (</w:t>
      </w:r>
      <w:r w:rsidR="00E919BE" w:rsidRPr="00324602">
        <w:t xml:space="preserve">Pickup </w:t>
      </w:r>
      <w:r w:rsidRPr="00324602">
        <w:t>Tonis)</w:t>
      </w:r>
      <w:r w:rsidR="001237DD">
        <w:t xml:space="preserve">, </w:t>
      </w:r>
      <w:r w:rsidR="001237DD" w:rsidRPr="00324602">
        <w:t>Graders</w:t>
      </w:r>
      <w:r w:rsidRPr="00324602">
        <w:t xml:space="preserve"> and Roller</w:t>
      </w:r>
      <w:r w:rsidR="001237DD">
        <w:t xml:space="preserve">, </w:t>
      </w:r>
      <w:r w:rsidR="3432D54E" w:rsidRPr="00324602">
        <w:t>Motor Grader</w:t>
      </w:r>
      <w:r w:rsidR="001237DD">
        <w:t xml:space="preserve">, </w:t>
      </w:r>
      <w:r w:rsidRPr="00324602">
        <w:t>Roller (12-15 Ton Compactor</w:t>
      </w:r>
      <w:r w:rsidR="001237DD">
        <w:t xml:space="preserve">), </w:t>
      </w:r>
      <w:r w:rsidRPr="00324602">
        <w:t>Generators</w:t>
      </w:r>
      <w:r w:rsidR="001237DD">
        <w:t>,</w:t>
      </w:r>
      <w:r w:rsidRPr="00324602">
        <w:t>10 KW Electrical Generator</w:t>
      </w:r>
      <w:r w:rsidR="001237DD">
        <w:t>,</w:t>
      </w:r>
      <w:r w:rsidRPr="00324602">
        <w:t>5 KW Electrical Generator</w:t>
      </w:r>
      <w:r w:rsidR="001237DD">
        <w:t xml:space="preserve">, </w:t>
      </w:r>
      <w:r w:rsidRPr="00324602">
        <w:t>Compressors</w:t>
      </w:r>
      <w:r w:rsidR="001237DD">
        <w:t xml:space="preserve">, </w:t>
      </w:r>
      <w:r w:rsidRPr="00324602">
        <w:t>Heavy Duty Compressor</w:t>
      </w:r>
      <w:r w:rsidR="001237DD">
        <w:t xml:space="preserve">, </w:t>
      </w:r>
      <w:r w:rsidRPr="00324602">
        <w:t xml:space="preserve">Steel </w:t>
      </w:r>
      <w:r w:rsidR="006B6F57" w:rsidRPr="00324602">
        <w:t>Cutters,</w:t>
      </w:r>
      <w:r w:rsidRPr="00324602">
        <w:t xml:space="preserve"> and Water Pumps</w:t>
      </w:r>
      <w:r w:rsidR="006B6F57">
        <w:t>.</w:t>
      </w:r>
    </w:p>
    <w:p w14:paraId="127B25C3" w14:textId="77777777" w:rsidR="006B6F57" w:rsidRPr="00324602" w:rsidRDefault="006B6F57" w:rsidP="00636C00">
      <w:pPr>
        <w:pStyle w:val="ListParagraph"/>
        <w:ind w:left="360"/>
        <w:jc w:val="both"/>
      </w:pPr>
    </w:p>
    <w:p w14:paraId="186F29AC" w14:textId="77777777" w:rsidR="00DC5403" w:rsidRPr="006B6F57" w:rsidRDefault="00DC5403" w:rsidP="00636C00">
      <w:pPr>
        <w:jc w:val="both"/>
        <w:rPr>
          <w:b/>
          <w:bCs/>
        </w:rPr>
      </w:pPr>
      <w:r w:rsidRPr="006B6F57">
        <w:rPr>
          <w:b/>
          <w:bCs/>
        </w:rPr>
        <w:lastRenderedPageBreak/>
        <w:t>5. Contractor Responsibilities</w:t>
      </w:r>
    </w:p>
    <w:p w14:paraId="7B9E5E5B" w14:textId="12A3F8B8" w:rsidR="00DC5403" w:rsidRPr="00DC5403" w:rsidRDefault="00DC5403" w:rsidP="00636C00">
      <w:pPr>
        <w:numPr>
          <w:ilvl w:val="0"/>
          <w:numId w:val="12"/>
        </w:numPr>
        <w:jc w:val="both"/>
      </w:pPr>
      <w:r w:rsidRPr="00DC5403">
        <w:t xml:space="preserve">The contractor </w:t>
      </w:r>
      <w:r w:rsidR="001237DD" w:rsidRPr="00DC5403">
        <w:t>should</w:t>
      </w:r>
      <w:r w:rsidRPr="00DC5403">
        <w:t xml:space="preserve"> provide fully operational machinery in good working </w:t>
      </w:r>
      <w:r w:rsidR="00934C75" w:rsidRPr="00DC5403">
        <w:t>conditions</w:t>
      </w:r>
      <w:r w:rsidRPr="00DC5403">
        <w:t>, including the necessary skilled operators for each machine.</w:t>
      </w:r>
    </w:p>
    <w:p w14:paraId="0596D614" w14:textId="77777777" w:rsidR="00DC5403" w:rsidRPr="00DC5403" w:rsidRDefault="00DC5403" w:rsidP="00636C00">
      <w:pPr>
        <w:numPr>
          <w:ilvl w:val="0"/>
          <w:numId w:val="12"/>
        </w:numPr>
        <w:jc w:val="both"/>
      </w:pPr>
      <w:r w:rsidRPr="00DC5403">
        <w:t>The contractor is responsible for all maintenance, fuel, oil, transportation, and any other operational costs.</w:t>
      </w:r>
    </w:p>
    <w:p w14:paraId="069F6B0D" w14:textId="6FC3CF77" w:rsidR="00DC5403" w:rsidRPr="00DC5403" w:rsidRDefault="00DC5403" w:rsidP="00636C00">
      <w:pPr>
        <w:numPr>
          <w:ilvl w:val="0"/>
          <w:numId w:val="12"/>
        </w:numPr>
        <w:jc w:val="both"/>
      </w:pPr>
      <w:r w:rsidRPr="00DC5403">
        <w:t xml:space="preserve">The contractor shall ensure that the machinery is delivered to the specified site </w:t>
      </w:r>
      <w:r w:rsidR="006B6F57" w:rsidRPr="00914A2D">
        <w:t>within 5-7 days</w:t>
      </w:r>
      <w:r w:rsidR="008858F0">
        <w:t xml:space="preserve"> </w:t>
      </w:r>
      <w:r w:rsidRPr="00DC5403">
        <w:t>in accordance with DRC project requirements.</w:t>
      </w:r>
    </w:p>
    <w:p w14:paraId="2CDA8487" w14:textId="68231920" w:rsidR="00DC5403" w:rsidRPr="00DC5403" w:rsidRDefault="00DC5403" w:rsidP="00636C00">
      <w:pPr>
        <w:numPr>
          <w:ilvl w:val="0"/>
          <w:numId w:val="12"/>
        </w:numPr>
        <w:jc w:val="both"/>
      </w:pPr>
      <w:r w:rsidRPr="00DC5403">
        <w:t>The machinery must be available as needed, and the contractor must provide replacements or repairs immediately</w:t>
      </w:r>
      <w:r w:rsidR="00441BC7">
        <w:t xml:space="preserve"> within 2 days</w:t>
      </w:r>
      <w:r w:rsidRPr="00DC5403">
        <w:t xml:space="preserve"> in case of failure or breakdown.</w:t>
      </w:r>
    </w:p>
    <w:bookmarkEnd w:id="0"/>
    <w:p w14:paraId="561AE85D" w14:textId="77777777" w:rsidR="00DC5403" w:rsidRPr="00DC5403" w:rsidRDefault="00DC5403" w:rsidP="00636C00">
      <w:pPr>
        <w:jc w:val="both"/>
        <w:rPr>
          <w:b/>
          <w:bCs/>
        </w:rPr>
      </w:pPr>
      <w:r w:rsidRPr="00DC5403">
        <w:rPr>
          <w:b/>
          <w:bCs/>
        </w:rPr>
        <w:t>6. Payment Terms</w:t>
      </w:r>
    </w:p>
    <w:p w14:paraId="5BA2019E" w14:textId="7FC198D5" w:rsidR="00934C75" w:rsidRDefault="00934C75" w:rsidP="00636C00">
      <w:pPr>
        <w:jc w:val="both"/>
      </w:pPr>
      <w:r>
        <w:t xml:space="preserve">                </w:t>
      </w:r>
      <w:r w:rsidRPr="00380614">
        <w:t>DRC will</w:t>
      </w:r>
      <w:r>
        <w:t xml:space="preserve"> </w:t>
      </w:r>
      <w:r w:rsidRPr="00380614">
        <w:t>pay</w:t>
      </w:r>
      <w:r w:rsidR="00731490">
        <w:t xml:space="preserve"> as per the attached Annex C General </w:t>
      </w:r>
      <w:r w:rsidR="00383B1D">
        <w:t>Conditions of</w:t>
      </w:r>
      <w:r w:rsidR="00731490">
        <w:t xml:space="preserve"> Contract</w:t>
      </w:r>
    </w:p>
    <w:p w14:paraId="768B0003" w14:textId="77777777" w:rsidR="00DC5403" w:rsidRPr="00DC5403" w:rsidRDefault="00DC5403" w:rsidP="00636C00">
      <w:pPr>
        <w:jc w:val="both"/>
        <w:rPr>
          <w:b/>
          <w:bCs/>
        </w:rPr>
      </w:pPr>
      <w:r w:rsidRPr="00DC5403">
        <w:rPr>
          <w:b/>
          <w:bCs/>
        </w:rPr>
        <w:t>7. Compliance and Quality Assurance</w:t>
      </w:r>
    </w:p>
    <w:p w14:paraId="1D2D78A8" w14:textId="77777777" w:rsidR="00DC5403" w:rsidRDefault="00DC5403" w:rsidP="00636C00">
      <w:pPr>
        <w:numPr>
          <w:ilvl w:val="0"/>
          <w:numId w:val="14"/>
        </w:numPr>
        <w:jc w:val="both"/>
      </w:pPr>
      <w:r w:rsidRPr="00DC5403">
        <w:t>All machinery must be maintained in accordance with the manufacturer's specifications to ensure optimal performance and safety.</w:t>
      </w:r>
    </w:p>
    <w:p w14:paraId="328B0FD9" w14:textId="6BAD8498" w:rsidR="00B43649" w:rsidRDefault="00B43649" w:rsidP="00636C00">
      <w:pPr>
        <w:jc w:val="both"/>
        <w:rPr>
          <w:b/>
          <w:bCs/>
        </w:rPr>
      </w:pPr>
      <w:r w:rsidRPr="00B43649">
        <w:rPr>
          <w:b/>
          <w:bCs/>
        </w:rPr>
        <w:t xml:space="preserve">8. Safety </w:t>
      </w:r>
    </w:p>
    <w:p w14:paraId="48EB8103" w14:textId="2B13181F" w:rsidR="00E12A1F" w:rsidRPr="00E12A1F" w:rsidRDefault="00E12A1F" w:rsidP="00636C00">
      <w:pPr>
        <w:jc w:val="both"/>
      </w:pPr>
      <w:r w:rsidRPr="00E12A1F">
        <w:t xml:space="preserve">The contractor must comply with all safety standards, regulations, and construction site safety. </w:t>
      </w:r>
    </w:p>
    <w:p w14:paraId="429C6351" w14:textId="77777777" w:rsidR="00E12A1F" w:rsidRDefault="00E12A1F" w:rsidP="00636C00">
      <w:pPr>
        <w:pStyle w:val="ListParagraph"/>
        <w:numPr>
          <w:ilvl w:val="0"/>
          <w:numId w:val="40"/>
        </w:numPr>
        <w:jc w:val="both"/>
      </w:pPr>
      <w:r w:rsidRPr="00E12A1F">
        <w:t>All machinery provided under this ToR must comply with relevant safety standards and regulations to ensure the safety of operators and site personnel. This includes adherence to local and international safety guidelines</w:t>
      </w:r>
      <w:r>
        <w:t>.</w:t>
      </w:r>
    </w:p>
    <w:p w14:paraId="0DC11E65" w14:textId="337C4CD5" w:rsidR="00E12A1F" w:rsidRPr="00E12A1F" w:rsidRDefault="00E12A1F" w:rsidP="00636C00">
      <w:pPr>
        <w:pStyle w:val="ListParagraph"/>
        <w:numPr>
          <w:ilvl w:val="0"/>
          <w:numId w:val="40"/>
        </w:numPr>
        <w:jc w:val="both"/>
      </w:pPr>
      <w:r w:rsidRPr="00E12A1F">
        <w:t xml:space="preserve">Each piece of machinery must be ensured as safe for operation, and all machinery should be equipped with essential safety features, including emergency stop mechanisms, proper guarding of moving parts, and operational alarms to alert personnel of any potential hazards. </w:t>
      </w:r>
    </w:p>
    <w:p w14:paraId="44B7B50D" w14:textId="162899E8" w:rsidR="00E12A1F" w:rsidRPr="00E12A1F" w:rsidRDefault="00E12A1F" w:rsidP="00636C00">
      <w:pPr>
        <w:pStyle w:val="ListParagraph"/>
        <w:numPr>
          <w:ilvl w:val="0"/>
          <w:numId w:val="40"/>
        </w:numPr>
        <w:jc w:val="both"/>
      </w:pPr>
      <w:r w:rsidRPr="00E12A1F">
        <w:t xml:space="preserve">The contractor must have a comprehensive Safety Plan that outlines safety measures specific to the machinery used. </w:t>
      </w:r>
    </w:p>
    <w:p w14:paraId="56A97B94" w14:textId="754DD5AD" w:rsidR="00E12A1F" w:rsidRPr="00E12A1F" w:rsidRDefault="00E12A1F" w:rsidP="00636C00">
      <w:pPr>
        <w:pStyle w:val="ListParagraph"/>
        <w:numPr>
          <w:ilvl w:val="0"/>
          <w:numId w:val="40"/>
        </w:numPr>
        <w:jc w:val="both"/>
      </w:pPr>
      <w:r w:rsidRPr="00E12A1F">
        <w:t xml:space="preserve">Procedures for monitoring and reporting on safety measures during the utilization period must be established and adhered to. </w:t>
      </w:r>
    </w:p>
    <w:p w14:paraId="3EF6BE06" w14:textId="17056551" w:rsidR="00E12A1F" w:rsidRPr="00E12A1F" w:rsidRDefault="00E12A1F" w:rsidP="00636C00">
      <w:pPr>
        <w:pStyle w:val="ListParagraph"/>
        <w:numPr>
          <w:ilvl w:val="0"/>
          <w:numId w:val="40"/>
        </w:numPr>
        <w:jc w:val="both"/>
      </w:pPr>
      <w:r w:rsidRPr="00E12A1F">
        <w:t xml:space="preserve">Regular maintenance and monitoring of the machinery must be conducted to ensure ongoing compliance with environmental standards. </w:t>
      </w:r>
    </w:p>
    <w:p w14:paraId="1AE4BD2E" w14:textId="13CD8418" w:rsidR="00E12A1F" w:rsidRPr="00E12A1F" w:rsidRDefault="00E12A1F" w:rsidP="00636C00">
      <w:pPr>
        <w:pStyle w:val="ListParagraph"/>
        <w:numPr>
          <w:ilvl w:val="0"/>
          <w:numId w:val="40"/>
        </w:numPr>
        <w:jc w:val="both"/>
      </w:pPr>
      <w:r w:rsidRPr="00E12A1F">
        <w:t xml:space="preserve">The contractor accepts responsibility for any environmental violations that may occur due to the use of their machinery. </w:t>
      </w:r>
    </w:p>
    <w:p w14:paraId="38D5CF91" w14:textId="77777777" w:rsidR="00E12A1F" w:rsidRPr="00E12A1F" w:rsidRDefault="00E12A1F" w:rsidP="00636C00">
      <w:pPr>
        <w:pStyle w:val="ListParagraph"/>
        <w:numPr>
          <w:ilvl w:val="0"/>
          <w:numId w:val="40"/>
        </w:numPr>
        <w:jc w:val="both"/>
        <w:rPr>
          <w:b/>
          <w:bCs/>
        </w:rPr>
      </w:pPr>
      <w:r w:rsidRPr="00E12A1F">
        <w:t>Regular safety inspections must be conducted, and maintenance records should be maintained to demonstrate compliance with these safety requirements.</w:t>
      </w:r>
    </w:p>
    <w:p w14:paraId="36832F03" w14:textId="4740F8FB" w:rsidR="00B86F2E" w:rsidRPr="00E12A1F" w:rsidRDefault="00B86F2E" w:rsidP="00636C00">
      <w:pPr>
        <w:ind w:left="360"/>
        <w:jc w:val="both"/>
        <w:rPr>
          <w:b/>
          <w:bCs/>
        </w:rPr>
      </w:pPr>
      <w:r w:rsidRPr="00E12A1F">
        <w:rPr>
          <w:b/>
          <w:bCs/>
        </w:rPr>
        <w:t xml:space="preserve">9. Environmental Compliance Requirements for Rental </w:t>
      </w:r>
      <w:r w:rsidR="00F351AD" w:rsidRPr="00E12A1F">
        <w:rPr>
          <w:b/>
          <w:bCs/>
        </w:rPr>
        <w:t>Machineries</w:t>
      </w:r>
      <w:r w:rsidRPr="00E12A1F">
        <w:rPr>
          <w:b/>
          <w:bCs/>
        </w:rPr>
        <w:t>:</w:t>
      </w:r>
    </w:p>
    <w:p w14:paraId="16C6F6E2" w14:textId="57A53BBF" w:rsidR="00B86F2E" w:rsidRDefault="00B86F2E" w:rsidP="00636C00">
      <w:pPr>
        <w:numPr>
          <w:ilvl w:val="0"/>
          <w:numId w:val="14"/>
        </w:numPr>
        <w:jc w:val="both"/>
      </w:pPr>
      <w:r w:rsidRPr="00B86F2E">
        <w:t xml:space="preserve">Bidders must adhere to all applicable environmental regulations concerning emissions, noise levels, and other environmental impacts associated with the operation of construction machinery. This includes compliance with local and national standards that govern </w:t>
      </w:r>
      <w:r w:rsidRPr="00B86F2E">
        <w:lastRenderedPageBreak/>
        <w:t xml:space="preserve">permissible emissions for diesel engines, as well as noise control regulations to minimize disruption to surrounding communities. </w:t>
      </w:r>
    </w:p>
    <w:p w14:paraId="59C747ED" w14:textId="3FE693B6" w:rsidR="00E13F67" w:rsidRPr="00E13F67" w:rsidRDefault="00E13F67" w:rsidP="00636C00">
      <w:pPr>
        <w:jc w:val="both"/>
        <w:rPr>
          <w:b/>
          <w:bCs/>
        </w:rPr>
      </w:pPr>
      <w:r>
        <w:rPr>
          <w:b/>
          <w:bCs/>
        </w:rPr>
        <w:t xml:space="preserve">10. </w:t>
      </w:r>
      <w:r w:rsidRPr="00E13F67">
        <w:rPr>
          <w:b/>
          <w:bCs/>
        </w:rPr>
        <w:t>Communication Between Contractor and DRC</w:t>
      </w:r>
    </w:p>
    <w:p w14:paraId="774C125D" w14:textId="085B2CA6" w:rsidR="00E13F67" w:rsidRDefault="00E13F67" w:rsidP="00636C00">
      <w:pPr>
        <w:numPr>
          <w:ilvl w:val="0"/>
          <w:numId w:val="14"/>
        </w:numPr>
        <w:jc w:val="both"/>
      </w:pPr>
      <w:r>
        <w:t xml:space="preserve">Following the supplier selection and signing of the framework agreement, DRC focal </w:t>
      </w:r>
      <w:r w:rsidR="00E12A1F">
        <w:t xml:space="preserve">point </w:t>
      </w:r>
      <w:r>
        <w:t>in each area will submit purchase orders (POs) at different times within the framework agreement timeline, based on specific needs. These POs will indicate the number of requested items and their respective locations. Upon receiving the PO, the supplier is expected to deliver the requested items within 5-7 days. Additionally, a mutually agreed-upon timesheet process should be implemented to track utilization and confirm hours worked, along with regular updates on equipment status and availability. Scheduling meetings should be held as needed to address any operational concerns, ensuring alignment and timely responses to project needs.</w:t>
      </w:r>
    </w:p>
    <w:p w14:paraId="46DBC90A" w14:textId="7884A9AE" w:rsidR="00EE5741" w:rsidRPr="00EE5741" w:rsidRDefault="00EE5741" w:rsidP="00636C00">
      <w:pPr>
        <w:jc w:val="both"/>
        <w:rPr>
          <w:b/>
          <w:bCs/>
        </w:rPr>
      </w:pPr>
      <w:bookmarkStart w:id="3" w:name="_Hlk178848606"/>
      <w:r>
        <w:rPr>
          <w:b/>
          <w:bCs/>
        </w:rPr>
        <w:t>11.</w:t>
      </w:r>
      <w:r w:rsidRPr="00EE5741">
        <w:rPr>
          <w:b/>
          <w:bCs/>
        </w:rPr>
        <w:t>Liability and Insurance Requirements</w:t>
      </w:r>
    </w:p>
    <w:bookmarkEnd w:id="3"/>
    <w:p w14:paraId="52E7469F" w14:textId="25B02EA9" w:rsidR="00EE5741" w:rsidRDefault="066D13E2" w:rsidP="00636C00">
      <w:pPr>
        <w:numPr>
          <w:ilvl w:val="0"/>
          <w:numId w:val="14"/>
        </w:numPr>
        <w:jc w:val="both"/>
      </w:pPr>
      <w:r>
        <w:t xml:space="preserve">It is imperative to specify that the supplier </w:t>
      </w:r>
      <w:r w:rsidR="00AA1BB2">
        <w:t>takes full</w:t>
      </w:r>
      <w:r>
        <w:t xml:space="preserve"> liability for any incidents occurring at the workplace, including </w:t>
      </w:r>
      <w:r w:rsidR="00F351AD">
        <w:t>a bodily</w:t>
      </w:r>
      <w:r>
        <w:t xml:space="preserve"> injury to personnel or damage to machinery and property. While liability insurance is a standard requirement in many markets, due to the specific conditions in Afghanistan, DRC acknowledges that obtaining such insurance may not be feasible. Therefore, </w:t>
      </w:r>
      <w:r w:rsidRPr="00F351AD">
        <w:t>suppliers are required to provide a written statement</w:t>
      </w:r>
      <w:r w:rsidR="00805C96" w:rsidRPr="00F351AD">
        <w:t xml:space="preserve"> </w:t>
      </w:r>
      <w:r w:rsidR="00805C96" w:rsidRPr="00F351AD">
        <w:rPr>
          <w:b/>
          <w:bCs/>
        </w:rPr>
        <w:t xml:space="preserve">Annex </w:t>
      </w:r>
      <w:r w:rsidR="00F351AD" w:rsidRPr="00F351AD">
        <w:rPr>
          <w:b/>
          <w:bCs/>
        </w:rPr>
        <w:t>H</w:t>
      </w:r>
      <w:r w:rsidR="00F351AD" w:rsidRPr="00F351AD">
        <w:t>, affirming</w:t>
      </w:r>
      <w:r w:rsidRPr="00F351AD">
        <w:t xml:space="preserve"> their acceptance of full liability</w:t>
      </w:r>
      <w:r>
        <w:t xml:space="preserve"> for incidents during the rental period, without the need for liability insurance. This </w:t>
      </w:r>
      <w:r w:rsidRPr="00193269">
        <w:t>acknowledgment should be included in the bid submission process, ensuring that suppliers understand their responsibilities in maintaining a safe working environment and addressing any potential incidents that</w:t>
      </w:r>
      <w:r>
        <w:t xml:space="preserve"> may arise.</w:t>
      </w:r>
    </w:p>
    <w:p w14:paraId="7E0D9130" w14:textId="5B819B60" w:rsidR="00A54935" w:rsidRPr="007B544E" w:rsidRDefault="00A54935" w:rsidP="00636C00">
      <w:pPr>
        <w:numPr>
          <w:ilvl w:val="0"/>
          <w:numId w:val="14"/>
        </w:numPr>
        <w:jc w:val="both"/>
      </w:pPr>
      <w:r w:rsidRPr="00A54935">
        <w:t>The contractor agrees to indemnify and hold harmless the DRC from any claims, damages, or liabilities arising from the use of the rented machinery or the actions of the operators. This includes any incidents related to bodily injury, property damage, or any other claims that may arise during the course of the rental agreement. The contractor acknowledges their full responsibility for ensuring that all machinery is operated safely and in compliance with applicable regulations, and they shall take all necessary precautions to prevent incidents. This indemnification clause is intended to protect the DRC from any legal or financial repercussions associated with the contractor's operations and the use of rented equipment.</w:t>
      </w:r>
    </w:p>
    <w:p w14:paraId="747A76EE" w14:textId="3E89F455" w:rsidR="00DC5403" w:rsidRPr="00DC5403" w:rsidRDefault="00A54935" w:rsidP="00636C00">
      <w:pPr>
        <w:jc w:val="both"/>
        <w:rPr>
          <w:b/>
          <w:bCs/>
        </w:rPr>
      </w:pPr>
      <w:r>
        <w:rPr>
          <w:b/>
          <w:bCs/>
        </w:rPr>
        <w:t>12</w:t>
      </w:r>
      <w:r w:rsidR="00DC5403" w:rsidRPr="00DC5403">
        <w:rPr>
          <w:b/>
          <w:bCs/>
        </w:rPr>
        <w:t>. Deliverables</w:t>
      </w:r>
    </w:p>
    <w:p w14:paraId="1931879E" w14:textId="366EC8B9" w:rsidR="00DC5403" w:rsidRPr="00DC5403" w:rsidRDefault="00DC5403" w:rsidP="00636C00">
      <w:pPr>
        <w:numPr>
          <w:ilvl w:val="0"/>
          <w:numId w:val="15"/>
        </w:numPr>
        <w:jc w:val="both"/>
      </w:pPr>
      <w:r w:rsidRPr="00DC5403">
        <w:t xml:space="preserve">Timely delivery of </w:t>
      </w:r>
      <w:r w:rsidR="00F351AD" w:rsidRPr="00DC5403">
        <w:t>machiner</w:t>
      </w:r>
      <w:r w:rsidR="00F351AD">
        <w:t>y</w:t>
      </w:r>
      <w:r w:rsidR="00914A2D">
        <w:t xml:space="preserve"> listed in the </w:t>
      </w:r>
      <w:r w:rsidR="00E12A1F">
        <w:t xml:space="preserve">Annexes </w:t>
      </w:r>
      <w:r w:rsidR="00914A2D">
        <w:t>for each lot</w:t>
      </w:r>
      <w:r w:rsidR="00914A2D" w:rsidRPr="00DC5403">
        <w:t xml:space="preserve"> in</w:t>
      </w:r>
      <w:r w:rsidRPr="00DC5403">
        <w:t xml:space="preserve"> good working order.</w:t>
      </w:r>
    </w:p>
    <w:p w14:paraId="1C2C7551" w14:textId="77777777" w:rsidR="00DC5403" w:rsidRPr="00DC5403" w:rsidRDefault="00DC5403" w:rsidP="00636C00">
      <w:pPr>
        <w:numPr>
          <w:ilvl w:val="0"/>
          <w:numId w:val="15"/>
        </w:numPr>
        <w:jc w:val="both"/>
      </w:pPr>
      <w:r w:rsidRPr="00DC5403">
        <w:t>Availability of operators and fuel, as required, for the full duration of rental.</w:t>
      </w:r>
    </w:p>
    <w:p w14:paraId="709D71C0" w14:textId="77777777" w:rsidR="00DC5403" w:rsidRDefault="00DC5403" w:rsidP="00636C00">
      <w:pPr>
        <w:numPr>
          <w:ilvl w:val="0"/>
          <w:numId w:val="15"/>
        </w:numPr>
        <w:jc w:val="both"/>
      </w:pPr>
      <w:r w:rsidRPr="00DC5403">
        <w:t>Maintenance and repair services for the machinery as needed.</w:t>
      </w:r>
    </w:p>
    <w:p w14:paraId="1B89D112" w14:textId="5C21AD47" w:rsidR="00914A2D" w:rsidRPr="00DC5403" w:rsidRDefault="00914A2D" w:rsidP="00636C00">
      <w:pPr>
        <w:numPr>
          <w:ilvl w:val="0"/>
          <w:numId w:val="15"/>
        </w:numPr>
        <w:jc w:val="both"/>
      </w:pPr>
      <w:r w:rsidRPr="00914A2D">
        <w:t>Upon receiving the Purchase Order (PO), the supplier must deliver the requested items within 5-7 days.</w:t>
      </w:r>
    </w:p>
    <w:p w14:paraId="6321BDF8" w14:textId="3C7C0574" w:rsidR="00DC5403" w:rsidRPr="00DC5403" w:rsidRDefault="007B544E" w:rsidP="00636C00">
      <w:pPr>
        <w:jc w:val="both"/>
        <w:rPr>
          <w:b/>
          <w:bCs/>
        </w:rPr>
      </w:pPr>
      <w:bookmarkStart w:id="4" w:name="_Hlk181002977"/>
      <w:r>
        <w:rPr>
          <w:b/>
          <w:bCs/>
        </w:rPr>
        <w:t>1</w:t>
      </w:r>
      <w:r w:rsidR="00A54935">
        <w:rPr>
          <w:b/>
          <w:bCs/>
        </w:rPr>
        <w:t>3</w:t>
      </w:r>
      <w:r w:rsidR="00DC5403" w:rsidRPr="00DC5403">
        <w:rPr>
          <w:b/>
          <w:bCs/>
        </w:rPr>
        <w:t>. Duration</w:t>
      </w:r>
    </w:p>
    <w:bookmarkEnd w:id="4"/>
    <w:p w14:paraId="2081D09A" w14:textId="701AC261" w:rsidR="00DC5403" w:rsidRDefault="00DC5403" w:rsidP="00636C00">
      <w:pPr>
        <w:jc w:val="both"/>
      </w:pPr>
      <w:r w:rsidRPr="00DC5403">
        <w:lastRenderedPageBreak/>
        <w:t>The rental duration will depend on project site requirements</w:t>
      </w:r>
      <w:r w:rsidR="00B84E31">
        <w:t xml:space="preserve"> which will be specified in the PO</w:t>
      </w:r>
      <w:r w:rsidRPr="00DC5403">
        <w:t xml:space="preserve">, and the contractor must ensure availability of machinery </w:t>
      </w:r>
      <w:r w:rsidR="00B84E31">
        <w:t xml:space="preserve">within 5-7 days </w:t>
      </w:r>
      <w:r w:rsidRPr="00DC5403">
        <w:t>upon request</w:t>
      </w:r>
      <w:r w:rsidR="00B84E31">
        <w:t xml:space="preserve"> and submission of PO</w:t>
      </w:r>
      <w:r w:rsidRPr="00DC5403">
        <w:t>.</w:t>
      </w:r>
    </w:p>
    <w:p w14:paraId="1C3D2F3C" w14:textId="77777777" w:rsidR="00043D74" w:rsidRPr="00043D74" w:rsidRDefault="00043D74" w:rsidP="00636C00">
      <w:pPr>
        <w:jc w:val="both"/>
        <w:rPr>
          <w:b/>
          <w:bCs/>
        </w:rPr>
      </w:pPr>
      <w:r w:rsidRPr="00043D74">
        <w:rPr>
          <w:b/>
          <w:bCs/>
        </w:rPr>
        <w:t>14. Conclusion</w:t>
      </w:r>
    </w:p>
    <w:p w14:paraId="7249BFED" w14:textId="77777777" w:rsidR="00043D74" w:rsidRPr="00043D74" w:rsidRDefault="00043D74" w:rsidP="00636C00">
      <w:pPr>
        <w:jc w:val="both"/>
      </w:pPr>
      <w:r w:rsidRPr="00043D74">
        <w:t>This Terms of Reference (ToR) outlines the specifications and responsibilities for the rental of construction machinery under ITB-AFG-AFC-015-2024. DRC expects the contractor to fully meet these requirements, ensuring smooth and efficient support for infrastructure and construction site operations.</w:t>
      </w:r>
    </w:p>
    <w:p w14:paraId="6D2C4499" w14:textId="034496F3" w:rsidR="00043D74" w:rsidRDefault="002123E7" w:rsidP="00636C00">
      <w:r w:rsidRPr="002123E7">
        <w:rPr>
          <w:b/>
          <w:bCs/>
        </w:rPr>
        <w:t>Bidder Declaration</w:t>
      </w:r>
      <w:r w:rsidRPr="002123E7">
        <w:rPr>
          <w:b/>
          <w:bCs/>
        </w:rPr>
        <w:br/>
      </w:r>
      <w:r w:rsidRPr="002123E7">
        <w:t>I, the undersigned, certify that the information provided in this form is true and accurate to the best of my knowledge. By signing this ToR, I declare that I accept the terms and references outlined in this ITB. If awarded the contract, I commit to providing all necessary documentation and complying with the specified requirements. I understand that non-compliance may result in disqualification from the bidding process.</w:t>
      </w:r>
    </w:p>
    <w:p w14:paraId="634649C6" w14:textId="77777777" w:rsidR="002123E7" w:rsidRDefault="002123E7" w:rsidP="00636C00">
      <w:pPr>
        <w:jc w:val="both"/>
      </w:pPr>
    </w:p>
    <w:tbl>
      <w:tblPr>
        <w:tblStyle w:val="TableGrid"/>
        <w:tblW w:w="9515" w:type="dxa"/>
        <w:tblLook w:val="04A0" w:firstRow="1" w:lastRow="0" w:firstColumn="1" w:lastColumn="0" w:noHBand="0" w:noVBand="1"/>
      </w:tblPr>
      <w:tblGrid>
        <w:gridCol w:w="3598"/>
        <w:gridCol w:w="5917"/>
      </w:tblGrid>
      <w:tr w:rsidR="004D4E4C" w14:paraId="51412D60" w14:textId="77777777" w:rsidTr="005755E8">
        <w:trPr>
          <w:trHeight w:val="322"/>
        </w:trPr>
        <w:tc>
          <w:tcPr>
            <w:tcW w:w="9515" w:type="dxa"/>
            <w:gridSpan w:val="2"/>
          </w:tcPr>
          <w:p w14:paraId="4BA342A9" w14:textId="28561217" w:rsidR="004D4E4C" w:rsidRPr="004D4E4C" w:rsidRDefault="004D4E4C" w:rsidP="00636C00">
            <w:pPr>
              <w:spacing w:after="100" w:afterAutospacing="1"/>
              <w:jc w:val="both"/>
              <w:rPr>
                <w:rFonts w:ascii="Calibri" w:hAnsi="Calibri" w:cs="Calibri"/>
                <w:b/>
                <w:bCs/>
              </w:rPr>
            </w:pPr>
            <w:r w:rsidRPr="0092419D">
              <w:rPr>
                <w:rFonts w:ascii="Calibri" w:hAnsi="Calibri" w:cs="Calibri"/>
                <w:b/>
                <w:bCs/>
              </w:rPr>
              <w:t>Supplier's Authorized Signatory:</w:t>
            </w:r>
          </w:p>
        </w:tc>
      </w:tr>
      <w:tr w:rsidR="004D4E4C" w14:paraId="07FF9067" w14:textId="77777777" w:rsidTr="005755E8">
        <w:trPr>
          <w:trHeight w:val="617"/>
        </w:trPr>
        <w:tc>
          <w:tcPr>
            <w:tcW w:w="3598" w:type="dxa"/>
          </w:tcPr>
          <w:p w14:paraId="4C76AFDD" w14:textId="7072C846" w:rsidR="004D4E4C" w:rsidRPr="004D4E4C" w:rsidRDefault="004D4E4C" w:rsidP="00636C00">
            <w:pPr>
              <w:spacing w:before="240"/>
              <w:jc w:val="both"/>
              <w:rPr>
                <w:rFonts w:ascii="Calibri" w:hAnsi="Calibri" w:cs="Calibri"/>
                <w:b/>
                <w:bCs/>
              </w:rPr>
            </w:pPr>
            <w:r w:rsidRPr="0092419D">
              <w:rPr>
                <w:rFonts w:ascii="Calibri" w:hAnsi="Calibri" w:cs="Calibri"/>
                <w:b/>
                <w:bCs/>
              </w:rPr>
              <w:t>Supplier's Name</w:t>
            </w:r>
            <w:r>
              <w:rPr>
                <w:rFonts w:ascii="Calibri" w:hAnsi="Calibri" w:cs="Calibri"/>
                <w:b/>
                <w:bCs/>
              </w:rPr>
              <w:t>:</w:t>
            </w:r>
          </w:p>
        </w:tc>
        <w:tc>
          <w:tcPr>
            <w:tcW w:w="5916" w:type="dxa"/>
          </w:tcPr>
          <w:p w14:paraId="00459206" w14:textId="77777777" w:rsidR="004D4E4C" w:rsidRDefault="004D4E4C" w:rsidP="00636C00">
            <w:pPr>
              <w:jc w:val="both"/>
            </w:pPr>
          </w:p>
        </w:tc>
      </w:tr>
      <w:tr w:rsidR="004D4E4C" w14:paraId="2C09B514" w14:textId="77777777" w:rsidTr="005755E8">
        <w:trPr>
          <w:trHeight w:val="956"/>
        </w:trPr>
        <w:tc>
          <w:tcPr>
            <w:tcW w:w="3598" w:type="dxa"/>
          </w:tcPr>
          <w:p w14:paraId="1A3D06C8" w14:textId="77777777" w:rsidR="004D4E4C" w:rsidRPr="0092419D" w:rsidRDefault="004D4E4C" w:rsidP="00636C00">
            <w:pPr>
              <w:spacing w:before="240"/>
              <w:jc w:val="both"/>
              <w:rPr>
                <w:rFonts w:ascii="Calibri" w:hAnsi="Calibri" w:cs="Calibri"/>
                <w:b/>
                <w:bCs/>
              </w:rPr>
            </w:pPr>
            <w:r w:rsidRPr="0092419D">
              <w:rPr>
                <w:rFonts w:ascii="Calibri" w:hAnsi="Calibri" w:cs="Calibri"/>
                <w:b/>
                <w:bCs/>
              </w:rPr>
              <w:t>Supplier's Address:</w:t>
            </w:r>
          </w:p>
          <w:p w14:paraId="725376F0" w14:textId="77777777" w:rsidR="004D4E4C" w:rsidRDefault="004D4E4C" w:rsidP="00636C00">
            <w:pPr>
              <w:jc w:val="both"/>
            </w:pPr>
          </w:p>
        </w:tc>
        <w:tc>
          <w:tcPr>
            <w:tcW w:w="5916" w:type="dxa"/>
          </w:tcPr>
          <w:p w14:paraId="0706D443" w14:textId="77777777" w:rsidR="004D4E4C" w:rsidRDefault="004D4E4C" w:rsidP="00636C00">
            <w:pPr>
              <w:jc w:val="both"/>
            </w:pPr>
          </w:p>
        </w:tc>
      </w:tr>
      <w:tr w:rsidR="004D4E4C" w14:paraId="2C5F0A37" w14:textId="77777777" w:rsidTr="005755E8">
        <w:trPr>
          <w:trHeight w:val="956"/>
        </w:trPr>
        <w:tc>
          <w:tcPr>
            <w:tcW w:w="3598" w:type="dxa"/>
          </w:tcPr>
          <w:p w14:paraId="6FD6E301" w14:textId="77777777" w:rsidR="004D4E4C" w:rsidRPr="0092419D" w:rsidRDefault="004D4E4C" w:rsidP="00636C00">
            <w:pPr>
              <w:spacing w:before="240"/>
              <w:jc w:val="both"/>
              <w:rPr>
                <w:rFonts w:ascii="Calibri" w:hAnsi="Calibri" w:cs="Calibri"/>
                <w:b/>
                <w:bCs/>
              </w:rPr>
            </w:pPr>
            <w:r w:rsidRPr="0092419D">
              <w:rPr>
                <w:rFonts w:ascii="Calibri" w:hAnsi="Calibri" w:cs="Calibri"/>
                <w:b/>
                <w:bCs/>
              </w:rPr>
              <w:t>Phone Number:</w:t>
            </w:r>
          </w:p>
          <w:p w14:paraId="0B749696" w14:textId="77777777" w:rsidR="004D4E4C" w:rsidRDefault="004D4E4C" w:rsidP="00636C00">
            <w:pPr>
              <w:jc w:val="both"/>
            </w:pPr>
          </w:p>
        </w:tc>
        <w:tc>
          <w:tcPr>
            <w:tcW w:w="5916" w:type="dxa"/>
          </w:tcPr>
          <w:p w14:paraId="12C1B590" w14:textId="77777777" w:rsidR="004D4E4C" w:rsidRDefault="004D4E4C" w:rsidP="00636C00">
            <w:pPr>
              <w:jc w:val="both"/>
            </w:pPr>
          </w:p>
        </w:tc>
      </w:tr>
      <w:tr w:rsidR="004D4E4C" w14:paraId="680E2B65" w14:textId="77777777" w:rsidTr="005755E8">
        <w:trPr>
          <w:trHeight w:val="941"/>
        </w:trPr>
        <w:tc>
          <w:tcPr>
            <w:tcW w:w="3598" w:type="dxa"/>
          </w:tcPr>
          <w:p w14:paraId="33A62364" w14:textId="77777777" w:rsidR="004D4E4C" w:rsidRPr="0092419D" w:rsidRDefault="004D4E4C" w:rsidP="00636C00">
            <w:pPr>
              <w:spacing w:before="240"/>
              <w:jc w:val="both"/>
              <w:rPr>
                <w:rFonts w:ascii="Calibri" w:hAnsi="Calibri" w:cs="Calibri"/>
                <w:b/>
                <w:bCs/>
              </w:rPr>
            </w:pPr>
            <w:r w:rsidRPr="0092419D">
              <w:rPr>
                <w:rFonts w:ascii="Calibri" w:hAnsi="Calibri" w:cs="Calibri"/>
                <w:b/>
                <w:bCs/>
              </w:rPr>
              <w:t>Email Address:</w:t>
            </w:r>
          </w:p>
          <w:p w14:paraId="55179C99" w14:textId="77777777" w:rsidR="004D4E4C" w:rsidRDefault="004D4E4C" w:rsidP="00636C00">
            <w:pPr>
              <w:jc w:val="both"/>
            </w:pPr>
          </w:p>
        </w:tc>
        <w:tc>
          <w:tcPr>
            <w:tcW w:w="5916" w:type="dxa"/>
          </w:tcPr>
          <w:p w14:paraId="05DF7167" w14:textId="77777777" w:rsidR="004D4E4C" w:rsidRDefault="004D4E4C" w:rsidP="00636C00">
            <w:pPr>
              <w:jc w:val="both"/>
            </w:pPr>
          </w:p>
        </w:tc>
      </w:tr>
      <w:tr w:rsidR="004D4E4C" w14:paraId="2D531A89" w14:textId="77777777" w:rsidTr="005755E8">
        <w:trPr>
          <w:trHeight w:val="617"/>
        </w:trPr>
        <w:tc>
          <w:tcPr>
            <w:tcW w:w="3598" w:type="dxa"/>
          </w:tcPr>
          <w:p w14:paraId="29762C20" w14:textId="4FC9025C" w:rsidR="004D4E4C" w:rsidRPr="0092419D" w:rsidRDefault="004D4E4C" w:rsidP="00636C00">
            <w:pPr>
              <w:spacing w:before="240"/>
              <w:jc w:val="both"/>
              <w:rPr>
                <w:rFonts w:ascii="Calibri" w:hAnsi="Calibri" w:cs="Calibri"/>
                <w:b/>
                <w:bCs/>
              </w:rPr>
            </w:pPr>
            <w:r>
              <w:rPr>
                <w:rFonts w:ascii="Calibri" w:hAnsi="Calibri" w:cs="Calibri"/>
                <w:b/>
                <w:bCs/>
              </w:rPr>
              <w:t xml:space="preserve">Supplier’s Sign: </w:t>
            </w:r>
          </w:p>
        </w:tc>
        <w:tc>
          <w:tcPr>
            <w:tcW w:w="5916" w:type="dxa"/>
          </w:tcPr>
          <w:p w14:paraId="3587945A" w14:textId="77777777" w:rsidR="004D4E4C" w:rsidRDefault="004D4E4C" w:rsidP="00636C00">
            <w:pPr>
              <w:jc w:val="both"/>
            </w:pPr>
          </w:p>
        </w:tc>
      </w:tr>
      <w:tr w:rsidR="004D4E4C" w14:paraId="1E997997" w14:textId="77777777" w:rsidTr="005755E8">
        <w:trPr>
          <w:trHeight w:val="617"/>
        </w:trPr>
        <w:tc>
          <w:tcPr>
            <w:tcW w:w="3598" w:type="dxa"/>
          </w:tcPr>
          <w:p w14:paraId="6B2B21A3" w14:textId="69DBD222" w:rsidR="004D4E4C" w:rsidRDefault="004D4E4C" w:rsidP="00636C00">
            <w:pPr>
              <w:spacing w:before="240"/>
              <w:jc w:val="both"/>
              <w:rPr>
                <w:rFonts w:ascii="Calibri" w:hAnsi="Calibri" w:cs="Calibri"/>
                <w:b/>
                <w:bCs/>
              </w:rPr>
            </w:pPr>
            <w:r>
              <w:rPr>
                <w:rFonts w:ascii="Calibri" w:hAnsi="Calibri" w:cs="Calibri"/>
                <w:b/>
                <w:bCs/>
              </w:rPr>
              <w:t xml:space="preserve">Company Stamp: </w:t>
            </w:r>
          </w:p>
        </w:tc>
        <w:tc>
          <w:tcPr>
            <w:tcW w:w="5916" w:type="dxa"/>
          </w:tcPr>
          <w:p w14:paraId="70B659A1" w14:textId="77777777" w:rsidR="004D4E4C" w:rsidRDefault="004D4E4C" w:rsidP="00636C00">
            <w:pPr>
              <w:jc w:val="both"/>
            </w:pPr>
          </w:p>
        </w:tc>
      </w:tr>
    </w:tbl>
    <w:p w14:paraId="00393F9C" w14:textId="77777777" w:rsidR="004D4E4C" w:rsidRDefault="004D4E4C" w:rsidP="00636C00">
      <w:pPr>
        <w:jc w:val="both"/>
      </w:pPr>
    </w:p>
    <w:p w14:paraId="1BD2E67C" w14:textId="77777777" w:rsidR="0092419D" w:rsidRDefault="0092419D" w:rsidP="00636C00">
      <w:pPr>
        <w:jc w:val="both"/>
      </w:pPr>
    </w:p>
    <w:p w14:paraId="4102BF4F" w14:textId="77777777" w:rsidR="0092419D" w:rsidRPr="0092419D" w:rsidRDefault="0092419D" w:rsidP="00636C00">
      <w:pPr>
        <w:jc w:val="both"/>
      </w:pPr>
    </w:p>
    <w:sectPr w:rsidR="0092419D" w:rsidRPr="0092419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E18A3" w14:textId="77777777" w:rsidR="00970B9A" w:rsidRDefault="00970B9A" w:rsidP="00383B1D">
      <w:pPr>
        <w:spacing w:after="0" w:line="240" w:lineRule="auto"/>
      </w:pPr>
      <w:r>
        <w:separator/>
      </w:r>
    </w:p>
  </w:endnote>
  <w:endnote w:type="continuationSeparator" w:id="0">
    <w:p w14:paraId="2439676C" w14:textId="77777777" w:rsidR="00970B9A" w:rsidRDefault="00970B9A" w:rsidP="00383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B1B0B" w14:textId="77777777" w:rsidR="00970B9A" w:rsidRDefault="00970B9A" w:rsidP="00383B1D">
      <w:pPr>
        <w:spacing w:after="0" w:line="240" w:lineRule="auto"/>
      </w:pPr>
      <w:r>
        <w:separator/>
      </w:r>
    </w:p>
  </w:footnote>
  <w:footnote w:type="continuationSeparator" w:id="0">
    <w:p w14:paraId="64ED8D63" w14:textId="77777777" w:rsidR="00970B9A" w:rsidRDefault="00970B9A" w:rsidP="00383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E81BB" w14:textId="73B62022" w:rsidR="00383B1D" w:rsidRDefault="00383B1D">
    <w:pPr>
      <w:pStyle w:val="Header"/>
    </w:pPr>
    <w:r>
      <w:t>ITB-AFG-AFC-015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929ED"/>
    <w:multiLevelType w:val="multilevel"/>
    <w:tmpl w:val="56F21888"/>
    <w:lvl w:ilvl="0">
      <w:start w:val="4"/>
      <w:numFmt w:val="decimal"/>
      <w:lvlText w:val="%1"/>
      <w:lvlJc w:val="left"/>
      <w:pPr>
        <w:ind w:left="480" w:hanging="480"/>
      </w:pPr>
      <w:rPr>
        <w:rFonts w:hint="default"/>
        <w:b/>
      </w:rPr>
    </w:lvl>
    <w:lvl w:ilvl="1">
      <w:start w:val="7"/>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 w15:restartNumberingAfterBreak="0">
    <w:nsid w:val="014F606F"/>
    <w:multiLevelType w:val="multilevel"/>
    <w:tmpl w:val="86722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92429"/>
    <w:multiLevelType w:val="multilevel"/>
    <w:tmpl w:val="E0D61322"/>
    <w:lvl w:ilvl="0">
      <w:start w:val="4"/>
      <w:numFmt w:val="decimal"/>
      <w:lvlText w:val="%1"/>
      <w:lvlJc w:val="left"/>
      <w:pPr>
        <w:ind w:left="600" w:hanging="600"/>
      </w:pPr>
      <w:rPr>
        <w:rFonts w:hint="default"/>
        <w:b/>
      </w:rPr>
    </w:lvl>
    <w:lvl w:ilvl="1">
      <w:start w:val="11"/>
      <w:numFmt w:val="decimal"/>
      <w:lvlText w:val="%1.%2"/>
      <w:lvlJc w:val="left"/>
      <w:pPr>
        <w:ind w:left="892" w:hanging="600"/>
      </w:pPr>
      <w:rPr>
        <w:rFonts w:hint="default"/>
        <w:b/>
      </w:rPr>
    </w:lvl>
    <w:lvl w:ilvl="2">
      <w:start w:val="1"/>
      <w:numFmt w:val="decimal"/>
      <w:lvlText w:val="%1.%2.%3"/>
      <w:lvlJc w:val="left"/>
      <w:pPr>
        <w:ind w:left="1304" w:hanging="720"/>
      </w:pPr>
      <w:rPr>
        <w:rFonts w:hint="default"/>
        <w:b/>
      </w:rPr>
    </w:lvl>
    <w:lvl w:ilvl="3">
      <w:start w:val="1"/>
      <w:numFmt w:val="decimal"/>
      <w:lvlText w:val="%1.%2.%3.%4"/>
      <w:lvlJc w:val="left"/>
      <w:pPr>
        <w:ind w:left="1596" w:hanging="720"/>
      </w:pPr>
      <w:rPr>
        <w:rFonts w:hint="default"/>
        <w:b/>
      </w:rPr>
    </w:lvl>
    <w:lvl w:ilvl="4">
      <w:start w:val="1"/>
      <w:numFmt w:val="decimal"/>
      <w:lvlText w:val="%1.%2.%3.%4.%5"/>
      <w:lvlJc w:val="left"/>
      <w:pPr>
        <w:ind w:left="2248" w:hanging="108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3192" w:hanging="144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4136" w:hanging="1800"/>
      </w:pPr>
      <w:rPr>
        <w:rFonts w:hint="default"/>
        <w:b/>
      </w:rPr>
    </w:lvl>
  </w:abstractNum>
  <w:abstractNum w:abstractNumId="3" w15:restartNumberingAfterBreak="0">
    <w:nsid w:val="1055493A"/>
    <w:multiLevelType w:val="multilevel"/>
    <w:tmpl w:val="DC90FCBE"/>
    <w:lvl w:ilvl="0">
      <w:start w:val="8"/>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 w15:restartNumberingAfterBreak="0">
    <w:nsid w:val="109901C4"/>
    <w:multiLevelType w:val="multilevel"/>
    <w:tmpl w:val="BBD6A6A2"/>
    <w:lvl w:ilvl="0">
      <w:start w:val="4"/>
      <w:numFmt w:val="decimal"/>
      <w:lvlText w:val="%1"/>
      <w:lvlJc w:val="left"/>
      <w:pPr>
        <w:ind w:left="480" w:hanging="480"/>
      </w:pPr>
      <w:rPr>
        <w:rFonts w:hint="default"/>
        <w:b/>
      </w:rPr>
    </w:lvl>
    <w:lvl w:ilvl="1">
      <w:start w:val="2"/>
      <w:numFmt w:val="decimal"/>
      <w:lvlText w:val="%1.%2"/>
      <w:lvlJc w:val="left"/>
      <w:pPr>
        <w:ind w:left="102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5" w15:restartNumberingAfterBreak="0">
    <w:nsid w:val="1A2A6AF4"/>
    <w:multiLevelType w:val="multilevel"/>
    <w:tmpl w:val="C7382972"/>
    <w:lvl w:ilvl="0">
      <w:start w:val="4"/>
      <w:numFmt w:val="decimal"/>
      <w:lvlText w:val="%1"/>
      <w:lvlJc w:val="left"/>
      <w:pPr>
        <w:ind w:left="480" w:hanging="480"/>
      </w:pPr>
      <w:rPr>
        <w:rFonts w:hint="default"/>
        <w:b/>
      </w:rPr>
    </w:lvl>
    <w:lvl w:ilvl="1">
      <w:start w:val="9"/>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BD87563"/>
    <w:multiLevelType w:val="multilevel"/>
    <w:tmpl w:val="3154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20D79"/>
    <w:multiLevelType w:val="multilevel"/>
    <w:tmpl w:val="243C714A"/>
    <w:lvl w:ilvl="0">
      <w:start w:val="5"/>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8" w15:restartNumberingAfterBreak="0">
    <w:nsid w:val="1E171E66"/>
    <w:multiLevelType w:val="multilevel"/>
    <w:tmpl w:val="D0FA8EBA"/>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9" w15:restartNumberingAfterBreak="0">
    <w:nsid w:val="20477730"/>
    <w:multiLevelType w:val="multilevel"/>
    <w:tmpl w:val="7B4E00B2"/>
    <w:lvl w:ilvl="0">
      <w:start w:val="4"/>
      <w:numFmt w:val="decimal"/>
      <w:lvlText w:val="%1"/>
      <w:lvlJc w:val="left"/>
      <w:pPr>
        <w:ind w:left="480" w:hanging="480"/>
      </w:pPr>
      <w:rPr>
        <w:rFonts w:hint="default"/>
        <w:b/>
      </w:rPr>
    </w:lvl>
    <w:lvl w:ilvl="1">
      <w:start w:val="3"/>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1E913DD"/>
    <w:multiLevelType w:val="multilevel"/>
    <w:tmpl w:val="6374D892"/>
    <w:lvl w:ilvl="0">
      <w:start w:val="10"/>
      <w:numFmt w:val="decimal"/>
      <w:lvlText w:val="%1"/>
      <w:lvlJc w:val="left"/>
      <w:pPr>
        <w:ind w:left="420" w:hanging="420"/>
      </w:pPr>
      <w:rPr>
        <w:rFonts w:hint="default"/>
        <w:b/>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15:restartNumberingAfterBreak="0">
    <w:nsid w:val="26A70C59"/>
    <w:multiLevelType w:val="multilevel"/>
    <w:tmpl w:val="AC44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F82C07"/>
    <w:multiLevelType w:val="multilevel"/>
    <w:tmpl w:val="88965614"/>
    <w:lvl w:ilvl="0">
      <w:start w:val="4"/>
      <w:numFmt w:val="decimal"/>
      <w:lvlText w:val="%1"/>
      <w:lvlJc w:val="left"/>
      <w:pPr>
        <w:ind w:left="480" w:hanging="480"/>
      </w:pPr>
      <w:rPr>
        <w:rFonts w:hint="default"/>
        <w:b/>
      </w:rPr>
    </w:lvl>
    <w:lvl w:ilvl="1">
      <w:start w:val="9"/>
      <w:numFmt w:val="decimal"/>
      <w:lvlText w:val="%1.%2"/>
      <w:lvlJc w:val="left"/>
      <w:pPr>
        <w:ind w:left="1020" w:hanging="48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3" w15:restartNumberingAfterBreak="0">
    <w:nsid w:val="29A72D50"/>
    <w:multiLevelType w:val="multilevel"/>
    <w:tmpl w:val="FE8A9508"/>
    <w:lvl w:ilvl="0">
      <w:start w:val="4"/>
      <w:numFmt w:val="decimal"/>
      <w:lvlText w:val="%1"/>
      <w:lvlJc w:val="left"/>
      <w:pPr>
        <w:ind w:left="480" w:hanging="480"/>
      </w:pPr>
      <w:rPr>
        <w:rFonts w:hint="default"/>
        <w:b/>
      </w:rPr>
    </w:lvl>
    <w:lvl w:ilvl="1">
      <w:start w:val="4"/>
      <w:numFmt w:val="decimal"/>
      <w:lvlText w:val="%1.%2"/>
      <w:lvlJc w:val="left"/>
      <w:pPr>
        <w:ind w:left="102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4" w15:restartNumberingAfterBreak="0">
    <w:nsid w:val="29DC1222"/>
    <w:multiLevelType w:val="multilevel"/>
    <w:tmpl w:val="A17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64A32"/>
    <w:multiLevelType w:val="multilevel"/>
    <w:tmpl w:val="55DAF544"/>
    <w:lvl w:ilvl="0">
      <w:start w:val="4"/>
      <w:numFmt w:val="decimal"/>
      <w:lvlText w:val="%1"/>
      <w:lvlJc w:val="left"/>
      <w:pPr>
        <w:ind w:left="480" w:hanging="480"/>
      </w:pPr>
      <w:rPr>
        <w:rFonts w:hint="default"/>
        <w:b/>
      </w:rPr>
    </w:lvl>
    <w:lvl w:ilvl="1">
      <w:start w:val="8"/>
      <w:numFmt w:val="decimal"/>
      <w:lvlText w:val="%1.%2"/>
      <w:lvlJc w:val="left"/>
      <w:pPr>
        <w:ind w:left="1020" w:hanging="480"/>
      </w:pPr>
      <w:rPr>
        <w:rFonts w:hint="default"/>
        <w:b/>
      </w:rPr>
    </w:lvl>
    <w:lvl w:ilvl="2">
      <w:start w:val="1"/>
      <w:numFmt w:val="decimal"/>
      <w:lvlText w:val="%1.%2.%3"/>
      <w:lvlJc w:val="left"/>
      <w:pPr>
        <w:ind w:left="135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6" w15:restartNumberingAfterBreak="0">
    <w:nsid w:val="30A603BE"/>
    <w:multiLevelType w:val="multilevel"/>
    <w:tmpl w:val="7D9C6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CF20A6"/>
    <w:multiLevelType w:val="multilevel"/>
    <w:tmpl w:val="625E3EA8"/>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8" w15:restartNumberingAfterBreak="0">
    <w:nsid w:val="37EA3FE9"/>
    <w:multiLevelType w:val="multilevel"/>
    <w:tmpl w:val="28582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C04B2D"/>
    <w:multiLevelType w:val="multilevel"/>
    <w:tmpl w:val="68D06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F442F7"/>
    <w:multiLevelType w:val="multilevel"/>
    <w:tmpl w:val="729E7E6A"/>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E2F3F26"/>
    <w:multiLevelType w:val="multilevel"/>
    <w:tmpl w:val="AEDCD5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CC29DD"/>
    <w:multiLevelType w:val="multilevel"/>
    <w:tmpl w:val="628A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DF0C0A"/>
    <w:multiLevelType w:val="multilevel"/>
    <w:tmpl w:val="05E8F10E"/>
    <w:lvl w:ilvl="0">
      <w:start w:val="7"/>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4" w15:restartNumberingAfterBreak="0">
    <w:nsid w:val="53EA6F8F"/>
    <w:multiLevelType w:val="multilevel"/>
    <w:tmpl w:val="43EAC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BE3EC9"/>
    <w:multiLevelType w:val="multilevel"/>
    <w:tmpl w:val="B8481A56"/>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6" w15:restartNumberingAfterBreak="0">
    <w:nsid w:val="5692670D"/>
    <w:multiLevelType w:val="multilevel"/>
    <w:tmpl w:val="7372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B55AAC"/>
    <w:multiLevelType w:val="multilevel"/>
    <w:tmpl w:val="6F6E5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C84FFA"/>
    <w:multiLevelType w:val="multilevel"/>
    <w:tmpl w:val="F5C29628"/>
    <w:lvl w:ilvl="0">
      <w:start w:val="9"/>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9" w15:restartNumberingAfterBreak="0">
    <w:nsid w:val="5CCC59DC"/>
    <w:multiLevelType w:val="multilevel"/>
    <w:tmpl w:val="35B25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0A0C8B"/>
    <w:multiLevelType w:val="multilevel"/>
    <w:tmpl w:val="C72A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192051"/>
    <w:multiLevelType w:val="multilevel"/>
    <w:tmpl w:val="F362B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8B339B"/>
    <w:multiLevelType w:val="multilevel"/>
    <w:tmpl w:val="FFB6A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3B7B0C"/>
    <w:multiLevelType w:val="multilevel"/>
    <w:tmpl w:val="BFC80A50"/>
    <w:lvl w:ilvl="0">
      <w:start w:val="4"/>
      <w:numFmt w:val="decimal"/>
      <w:lvlText w:val="%1"/>
      <w:lvlJc w:val="left"/>
      <w:pPr>
        <w:ind w:left="480" w:hanging="480"/>
      </w:pPr>
      <w:rPr>
        <w:rFonts w:hint="default"/>
        <w:b/>
      </w:rPr>
    </w:lvl>
    <w:lvl w:ilvl="1">
      <w:start w:val="9"/>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4" w15:restartNumberingAfterBreak="0">
    <w:nsid w:val="635450C5"/>
    <w:multiLevelType w:val="multilevel"/>
    <w:tmpl w:val="C0A4F4E8"/>
    <w:lvl w:ilvl="0">
      <w:start w:val="4"/>
      <w:numFmt w:val="decimal"/>
      <w:lvlText w:val="%1"/>
      <w:lvlJc w:val="left"/>
      <w:pPr>
        <w:ind w:left="480" w:hanging="480"/>
      </w:pPr>
      <w:rPr>
        <w:rFonts w:hint="default"/>
        <w:b/>
      </w:rPr>
    </w:lvl>
    <w:lvl w:ilvl="1">
      <w:start w:val="6"/>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5" w15:restartNumberingAfterBreak="0">
    <w:nsid w:val="64350DCD"/>
    <w:multiLevelType w:val="multilevel"/>
    <w:tmpl w:val="4E965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5351F4"/>
    <w:multiLevelType w:val="hybridMultilevel"/>
    <w:tmpl w:val="3370E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223BCC"/>
    <w:multiLevelType w:val="multilevel"/>
    <w:tmpl w:val="8F60C7FE"/>
    <w:lvl w:ilvl="0">
      <w:start w:val="4"/>
      <w:numFmt w:val="decimal"/>
      <w:lvlText w:val="%1"/>
      <w:lvlJc w:val="left"/>
      <w:pPr>
        <w:ind w:left="600" w:hanging="600"/>
      </w:pPr>
      <w:rPr>
        <w:rFonts w:hint="default"/>
        <w:b/>
      </w:rPr>
    </w:lvl>
    <w:lvl w:ilvl="1">
      <w:start w:val="10"/>
      <w:numFmt w:val="decimal"/>
      <w:lvlText w:val="%1.%2"/>
      <w:lvlJc w:val="left"/>
      <w:pPr>
        <w:ind w:left="960" w:hanging="60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8" w15:restartNumberingAfterBreak="0">
    <w:nsid w:val="6DCF5C36"/>
    <w:multiLevelType w:val="multilevel"/>
    <w:tmpl w:val="A6E8C19A"/>
    <w:lvl w:ilvl="0">
      <w:start w:val="11"/>
      <w:numFmt w:val="decimal"/>
      <w:lvlText w:val="%1"/>
      <w:lvlJc w:val="left"/>
      <w:pPr>
        <w:ind w:left="420" w:hanging="420"/>
      </w:pPr>
      <w:rPr>
        <w:rFonts w:hint="default"/>
      </w:rPr>
    </w:lvl>
    <w:lvl w:ilvl="1">
      <w:start w:val="1"/>
      <w:numFmt w:val="decimal"/>
      <w:lvlText w:val="%1.%2"/>
      <w:lvlJc w:val="left"/>
      <w:pPr>
        <w:ind w:left="1005" w:hanging="4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39" w15:restartNumberingAfterBreak="0">
    <w:nsid w:val="7A1B3496"/>
    <w:multiLevelType w:val="multilevel"/>
    <w:tmpl w:val="1318CA16"/>
    <w:lvl w:ilvl="0">
      <w:start w:val="4"/>
      <w:numFmt w:val="decimal"/>
      <w:lvlText w:val="%1"/>
      <w:lvlJc w:val="left"/>
      <w:pPr>
        <w:ind w:left="480" w:hanging="480"/>
      </w:pPr>
      <w:rPr>
        <w:rFonts w:hint="default"/>
        <w:b/>
      </w:rPr>
    </w:lvl>
    <w:lvl w:ilvl="1">
      <w:start w:val="5"/>
      <w:numFmt w:val="decimal"/>
      <w:lvlText w:val="%1.%2"/>
      <w:lvlJc w:val="left"/>
      <w:pPr>
        <w:ind w:left="102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num w:numId="1" w16cid:durableId="250283487">
    <w:abstractNumId w:val="19"/>
  </w:num>
  <w:num w:numId="2" w16cid:durableId="1114641304">
    <w:abstractNumId w:val="30"/>
  </w:num>
  <w:num w:numId="3" w16cid:durableId="317534847">
    <w:abstractNumId w:val="29"/>
  </w:num>
  <w:num w:numId="4" w16cid:durableId="702092323">
    <w:abstractNumId w:val="1"/>
  </w:num>
  <w:num w:numId="5" w16cid:durableId="391123463">
    <w:abstractNumId w:val="14"/>
  </w:num>
  <w:num w:numId="6" w16cid:durableId="927932669">
    <w:abstractNumId w:val="26"/>
  </w:num>
  <w:num w:numId="7" w16cid:durableId="563881871">
    <w:abstractNumId w:val="22"/>
  </w:num>
  <w:num w:numId="8" w16cid:durableId="664432312">
    <w:abstractNumId w:val="24"/>
  </w:num>
  <w:num w:numId="9" w16cid:durableId="556819217">
    <w:abstractNumId w:val="31"/>
  </w:num>
  <w:num w:numId="10" w16cid:durableId="878861619">
    <w:abstractNumId w:val="27"/>
  </w:num>
  <w:num w:numId="11" w16cid:durableId="1192842039">
    <w:abstractNumId w:val="18"/>
  </w:num>
  <w:num w:numId="12" w16cid:durableId="1518689478">
    <w:abstractNumId w:val="6"/>
  </w:num>
  <w:num w:numId="13" w16cid:durableId="1797598511">
    <w:abstractNumId w:val="35"/>
  </w:num>
  <w:num w:numId="14" w16cid:durableId="318509664">
    <w:abstractNumId w:val="11"/>
  </w:num>
  <w:num w:numId="15" w16cid:durableId="1083602673">
    <w:abstractNumId w:val="16"/>
  </w:num>
  <w:num w:numId="16" w16cid:durableId="272828557">
    <w:abstractNumId w:val="32"/>
  </w:num>
  <w:num w:numId="17" w16cid:durableId="84809479">
    <w:abstractNumId w:val="8"/>
  </w:num>
  <w:num w:numId="18" w16cid:durableId="540023496">
    <w:abstractNumId w:val="20"/>
  </w:num>
  <w:num w:numId="19" w16cid:durableId="1409576245">
    <w:abstractNumId w:val="25"/>
  </w:num>
  <w:num w:numId="20" w16cid:durableId="1587838241">
    <w:abstractNumId w:val="7"/>
  </w:num>
  <w:num w:numId="21" w16cid:durableId="218320101">
    <w:abstractNumId w:val="17"/>
  </w:num>
  <w:num w:numId="22" w16cid:durableId="529147056">
    <w:abstractNumId w:val="23"/>
  </w:num>
  <w:num w:numId="23" w16cid:durableId="1204291361">
    <w:abstractNumId w:val="3"/>
  </w:num>
  <w:num w:numId="24" w16cid:durableId="1999723373">
    <w:abstractNumId w:val="28"/>
  </w:num>
  <w:num w:numId="25" w16cid:durableId="232281198">
    <w:abstractNumId w:val="10"/>
  </w:num>
  <w:num w:numId="26" w16cid:durableId="1515150169">
    <w:abstractNumId w:val="38"/>
  </w:num>
  <w:num w:numId="27" w16cid:durableId="552540843">
    <w:abstractNumId w:val="4"/>
  </w:num>
  <w:num w:numId="28" w16cid:durableId="2094811991">
    <w:abstractNumId w:val="9"/>
  </w:num>
  <w:num w:numId="29" w16cid:durableId="1851602533">
    <w:abstractNumId w:val="13"/>
  </w:num>
  <w:num w:numId="30" w16cid:durableId="894703645">
    <w:abstractNumId w:val="39"/>
  </w:num>
  <w:num w:numId="31" w16cid:durableId="47267615">
    <w:abstractNumId w:val="34"/>
  </w:num>
  <w:num w:numId="32" w16cid:durableId="999502227">
    <w:abstractNumId w:val="0"/>
  </w:num>
  <w:num w:numId="33" w16cid:durableId="1616936519">
    <w:abstractNumId w:val="15"/>
  </w:num>
  <w:num w:numId="34" w16cid:durableId="1481196280">
    <w:abstractNumId w:val="12"/>
  </w:num>
  <w:num w:numId="35" w16cid:durableId="516429493">
    <w:abstractNumId w:val="5"/>
  </w:num>
  <w:num w:numId="36" w16cid:durableId="173886824">
    <w:abstractNumId w:val="33"/>
  </w:num>
  <w:num w:numId="37" w16cid:durableId="35354184">
    <w:abstractNumId w:val="37"/>
  </w:num>
  <w:num w:numId="38" w16cid:durableId="567569387">
    <w:abstractNumId w:val="2"/>
  </w:num>
  <w:num w:numId="39" w16cid:durableId="890922263">
    <w:abstractNumId w:val="21"/>
  </w:num>
  <w:num w:numId="40" w16cid:durableId="6615273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403"/>
    <w:rsid w:val="00006578"/>
    <w:rsid w:val="00021AAC"/>
    <w:rsid w:val="00021D78"/>
    <w:rsid w:val="00024111"/>
    <w:rsid w:val="00043D74"/>
    <w:rsid w:val="000F7047"/>
    <w:rsid w:val="00105E5E"/>
    <w:rsid w:val="001237DD"/>
    <w:rsid w:val="00193269"/>
    <w:rsid w:val="001C75C3"/>
    <w:rsid w:val="002123E7"/>
    <w:rsid w:val="00230DEB"/>
    <w:rsid w:val="00236F7B"/>
    <w:rsid w:val="00247699"/>
    <w:rsid w:val="002B0973"/>
    <w:rsid w:val="002C73F6"/>
    <w:rsid w:val="00311179"/>
    <w:rsid w:val="00324602"/>
    <w:rsid w:val="00364988"/>
    <w:rsid w:val="00383B1D"/>
    <w:rsid w:val="003C170B"/>
    <w:rsid w:val="003C31A2"/>
    <w:rsid w:val="003F3CBB"/>
    <w:rsid w:val="00430B0F"/>
    <w:rsid w:val="00441BC7"/>
    <w:rsid w:val="00463180"/>
    <w:rsid w:val="00463D91"/>
    <w:rsid w:val="004B5D0D"/>
    <w:rsid w:val="004C1EC5"/>
    <w:rsid w:val="004D4E4C"/>
    <w:rsid w:val="005755E8"/>
    <w:rsid w:val="00582FD6"/>
    <w:rsid w:val="00593E64"/>
    <w:rsid w:val="00597199"/>
    <w:rsid w:val="005B77C9"/>
    <w:rsid w:val="005D11C9"/>
    <w:rsid w:val="005E17FB"/>
    <w:rsid w:val="00603376"/>
    <w:rsid w:val="00612EC3"/>
    <w:rsid w:val="00625E3B"/>
    <w:rsid w:val="00636C00"/>
    <w:rsid w:val="0064556D"/>
    <w:rsid w:val="00646AAE"/>
    <w:rsid w:val="006B6F57"/>
    <w:rsid w:val="00723F14"/>
    <w:rsid w:val="00731490"/>
    <w:rsid w:val="0073752F"/>
    <w:rsid w:val="007870A1"/>
    <w:rsid w:val="00793916"/>
    <w:rsid w:val="007A6AED"/>
    <w:rsid w:val="007B544E"/>
    <w:rsid w:val="007B7C25"/>
    <w:rsid w:val="007F5330"/>
    <w:rsid w:val="00805C96"/>
    <w:rsid w:val="0082651E"/>
    <w:rsid w:val="008858F0"/>
    <w:rsid w:val="008D22C5"/>
    <w:rsid w:val="008E58AC"/>
    <w:rsid w:val="008E76BF"/>
    <w:rsid w:val="00914A2D"/>
    <w:rsid w:val="00914E48"/>
    <w:rsid w:val="0092419D"/>
    <w:rsid w:val="009338BE"/>
    <w:rsid w:val="0093409A"/>
    <w:rsid w:val="00934C75"/>
    <w:rsid w:val="00961D3C"/>
    <w:rsid w:val="00970B9A"/>
    <w:rsid w:val="009731D9"/>
    <w:rsid w:val="00983707"/>
    <w:rsid w:val="009B2D63"/>
    <w:rsid w:val="009F07C8"/>
    <w:rsid w:val="00A20E2E"/>
    <w:rsid w:val="00A23196"/>
    <w:rsid w:val="00A54935"/>
    <w:rsid w:val="00AA1BB2"/>
    <w:rsid w:val="00AB04CC"/>
    <w:rsid w:val="00AB0C97"/>
    <w:rsid w:val="00AB0E5B"/>
    <w:rsid w:val="00AD3DAF"/>
    <w:rsid w:val="00B43649"/>
    <w:rsid w:val="00B73024"/>
    <w:rsid w:val="00B77F9B"/>
    <w:rsid w:val="00B84E31"/>
    <w:rsid w:val="00B865CD"/>
    <w:rsid w:val="00B86F2E"/>
    <w:rsid w:val="00B94FD6"/>
    <w:rsid w:val="00BD6996"/>
    <w:rsid w:val="00C27D52"/>
    <w:rsid w:val="00C513E2"/>
    <w:rsid w:val="00C51A84"/>
    <w:rsid w:val="00C5205C"/>
    <w:rsid w:val="00C64285"/>
    <w:rsid w:val="00C74E08"/>
    <w:rsid w:val="00CA1760"/>
    <w:rsid w:val="00CB1014"/>
    <w:rsid w:val="00CD159A"/>
    <w:rsid w:val="00D473AF"/>
    <w:rsid w:val="00D91941"/>
    <w:rsid w:val="00DA0E4E"/>
    <w:rsid w:val="00DC5403"/>
    <w:rsid w:val="00DD3AE8"/>
    <w:rsid w:val="00E0241D"/>
    <w:rsid w:val="00E12A1F"/>
    <w:rsid w:val="00E13F67"/>
    <w:rsid w:val="00E43D5C"/>
    <w:rsid w:val="00E86AD8"/>
    <w:rsid w:val="00E919BE"/>
    <w:rsid w:val="00EB03A9"/>
    <w:rsid w:val="00EC3106"/>
    <w:rsid w:val="00EE5741"/>
    <w:rsid w:val="00F11ED4"/>
    <w:rsid w:val="00F351AD"/>
    <w:rsid w:val="00F911C8"/>
    <w:rsid w:val="00F91E85"/>
    <w:rsid w:val="066D13E2"/>
    <w:rsid w:val="0E796598"/>
    <w:rsid w:val="2EE289AC"/>
    <w:rsid w:val="2F2EE05A"/>
    <w:rsid w:val="3432D54E"/>
    <w:rsid w:val="436B6CF3"/>
    <w:rsid w:val="50DFE23B"/>
    <w:rsid w:val="51DC83F3"/>
    <w:rsid w:val="672A7F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55F20"/>
  <w15:chartTrackingRefBased/>
  <w15:docId w15:val="{3FE6B3DE-6D53-4703-B3D6-F4FABFCF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54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54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54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54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54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54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54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54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54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54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54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54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54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54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54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54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54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5403"/>
    <w:rPr>
      <w:rFonts w:eastAsiaTheme="majorEastAsia" w:cstheme="majorBidi"/>
      <w:color w:val="272727" w:themeColor="text1" w:themeTint="D8"/>
    </w:rPr>
  </w:style>
  <w:style w:type="paragraph" w:styleId="Title">
    <w:name w:val="Title"/>
    <w:basedOn w:val="Normal"/>
    <w:next w:val="Normal"/>
    <w:link w:val="TitleChar"/>
    <w:uiPriority w:val="10"/>
    <w:qFormat/>
    <w:rsid w:val="00DC54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54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54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54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5403"/>
    <w:pPr>
      <w:spacing w:before="160"/>
      <w:jc w:val="center"/>
    </w:pPr>
    <w:rPr>
      <w:i/>
      <w:iCs/>
      <w:color w:val="404040" w:themeColor="text1" w:themeTint="BF"/>
    </w:rPr>
  </w:style>
  <w:style w:type="character" w:customStyle="1" w:styleId="QuoteChar">
    <w:name w:val="Quote Char"/>
    <w:basedOn w:val="DefaultParagraphFont"/>
    <w:link w:val="Quote"/>
    <w:uiPriority w:val="29"/>
    <w:rsid w:val="00DC5403"/>
    <w:rPr>
      <w:i/>
      <w:iCs/>
      <w:color w:val="404040" w:themeColor="text1" w:themeTint="BF"/>
    </w:rPr>
  </w:style>
  <w:style w:type="paragraph" w:styleId="ListParagraph">
    <w:name w:val="List Paragraph"/>
    <w:basedOn w:val="Normal"/>
    <w:uiPriority w:val="34"/>
    <w:qFormat/>
    <w:rsid w:val="00DC5403"/>
    <w:pPr>
      <w:ind w:left="720"/>
      <w:contextualSpacing/>
    </w:pPr>
  </w:style>
  <w:style w:type="character" w:styleId="IntenseEmphasis">
    <w:name w:val="Intense Emphasis"/>
    <w:basedOn w:val="DefaultParagraphFont"/>
    <w:uiPriority w:val="21"/>
    <w:qFormat/>
    <w:rsid w:val="00DC5403"/>
    <w:rPr>
      <w:i/>
      <w:iCs/>
      <w:color w:val="0F4761" w:themeColor="accent1" w:themeShade="BF"/>
    </w:rPr>
  </w:style>
  <w:style w:type="paragraph" w:styleId="IntenseQuote">
    <w:name w:val="Intense Quote"/>
    <w:basedOn w:val="Normal"/>
    <w:next w:val="Normal"/>
    <w:link w:val="IntenseQuoteChar"/>
    <w:uiPriority w:val="30"/>
    <w:qFormat/>
    <w:rsid w:val="00DC54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5403"/>
    <w:rPr>
      <w:i/>
      <w:iCs/>
      <w:color w:val="0F4761" w:themeColor="accent1" w:themeShade="BF"/>
    </w:rPr>
  </w:style>
  <w:style w:type="character" w:styleId="IntenseReference">
    <w:name w:val="Intense Reference"/>
    <w:basedOn w:val="DefaultParagraphFont"/>
    <w:uiPriority w:val="32"/>
    <w:qFormat/>
    <w:rsid w:val="00DC5403"/>
    <w:rPr>
      <w:b/>
      <w:bCs/>
      <w:smallCaps/>
      <w:color w:val="0F4761" w:themeColor="accent1" w:themeShade="BF"/>
      <w:spacing w:val="5"/>
    </w:rPr>
  </w:style>
  <w:style w:type="character" w:styleId="CommentReference">
    <w:name w:val="annotation reference"/>
    <w:basedOn w:val="DefaultParagraphFont"/>
    <w:uiPriority w:val="99"/>
    <w:semiHidden/>
    <w:unhideWhenUsed/>
    <w:rsid w:val="007F5330"/>
    <w:rPr>
      <w:sz w:val="16"/>
      <w:szCs w:val="16"/>
    </w:rPr>
  </w:style>
  <w:style w:type="paragraph" w:styleId="CommentText">
    <w:name w:val="annotation text"/>
    <w:basedOn w:val="Normal"/>
    <w:link w:val="CommentTextChar"/>
    <w:uiPriority w:val="99"/>
    <w:unhideWhenUsed/>
    <w:rsid w:val="007F5330"/>
    <w:pPr>
      <w:spacing w:line="240" w:lineRule="auto"/>
    </w:pPr>
    <w:rPr>
      <w:sz w:val="20"/>
      <w:szCs w:val="20"/>
    </w:rPr>
  </w:style>
  <w:style w:type="character" w:customStyle="1" w:styleId="CommentTextChar">
    <w:name w:val="Comment Text Char"/>
    <w:basedOn w:val="DefaultParagraphFont"/>
    <w:link w:val="CommentText"/>
    <w:uiPriority w:val="99"/>
    <w:rsid w:val="007F5330"/>
    <w:rPr>
      <w:sz w:val="20"/>
      <w:szCs w:val="20"/>
    </w:rPr>
  </w:style>
  <w:style w:type="paragraph" w:styleId="CommentSubject">
    <w:name w:val="annotation subject"/>
    <w:basedOn w:val="CommentText"/>
    <w:next w:val="CommentText"/>
    <w:link w:val="CommentSubjectChar"/>
    <w:uiPriority w:val="99"/>
    <w:semiHidden/>
    <w:unhideWhenUsed/>
    <w:rsid w:val="007F5330"/>
    <w:rPr>
      <w:b/>
      <w:bCs/>
    </w:rPr>
  </w:style>
  <w:style w:type="character" w:customStyle="1" w:styleId="CommentSubjectChar">
    <w:name w:val="Comment Subject Char"/>
    <w:basedOn w:val="CommentTextChar"/>
    <w:link w:val="CommentSubject"/>
    <w:uiPriority w:val="99"/>
    <w:semiHidden/>
    <w:rsid w:val="007F5330"/>
    <w:rPr>
      <w:b/>
      <w:bCs/>
      <w:sz w:val="20"/>
      <w:szCs w:val="20"/>
    </w:rPr>
  </w:style>
  <w:style w:type="paragraph" w:styleId="Revision">
    <w:name w:val="Revision"/>
    <w:hidden/>
    <w:uiPriority w:val="99"/>
    <w:semiHidden/>
    <w:rsid w:val="00F91E85"/>
    <w:pPr>
      <w:spacing w:after="0" w:line="240" w:lineRule="auto"/>
    </w:pPr>
  </w:style>
  <w:style w:type="table" w:styleId="TableGrid">
    <w:name w:val="Table Grid"/>
    <w:basedOn w:val="TableNormal"/>
    <w:uiPriority w:val="39"/>
    <w:rsid w:val="004D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3B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B1D"/>
  </w:style>
  <w:style w:type="paragraph" w:styleId="Footer">
    <w:name w:val="footer"/>
    <w:basedOn w:val="Normal"/>
    <w:link w:val="FooterChar"/>
    <w:uiPriority w:val="99"/>
    <w:unhideWhenUsed/>
    <w:rsid w:val="00383B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50227">
      <w:bodyDiv w:val="1"/>
      <w:marLeft w:val="0"/>
      <w:marRight w:val="0"/>
      <w:marTop w:val="0"/>
      <w:marBottom w:val="0"/>
      <w:divBdr>
        <w:top w:val="none" w:sz="0" w:space="0" w:color="auto"/>
        <w:left w:val="none" w:sz="0" w:space="0" w:color="auto"/>
        <w:bottom w:val="none" w:sz="0" w:space="0" w:color="auto"/>
        <w:right w:val="none" w:sz="0" w:space="0" w:color="auto"/>
      </w:divBdr>
    </w:div>
    <w:div w:id="101729348">
      <w:bodyDiv w:val="1"/>
      <w:marLeft w:val="0"/>
      <w:marRight w:val="0"/>
      <w:marTop w:val="0"/>
      <w:marBottom w:val="0"/>
      <w:divBdr>
        <w:top w:val="none" w:sz="0" w:space="0" w:color="auto"/>
        <w:left w:val="none" w:sz="0" w:space="0" w:color="auto"/>
        <w:bottom w:val="none" w:sz="0" w:space="0" w:color="auto"/>
        <w:right w:val="none" w:sz="0" w:space="0" w:color="auto"/>
      </w:divBdr>
    </w:div>
    <w:div w:id="179397622">
      <w:bodyDiv w:val="1"/>
      <w:marLeft w:val="0"/>
      <w:marRight w:val="0"/>
      <w:marTop w:val="0"/>
      <w:marBottom w:val="0"/>
      <w:divBdr>
        <w:top w:val="none" w:sz="0" w:space="0" w:color="auto"/>
        <w:left w:val="none" w:sz="0" w:space="0" w:color="auto"/>
        <w:bottom w:val="none" w:sz="0" w:space="0" w:color="auto"/>
        <w:right w:val="none" w:sz="0" w:space="0" w:color="auto"/>
      </w:divBdr>
    </w:div>
    <w:div w:id="565844991">
      <w:bodyDiv w:val="1"/>
      <w:marLeft w:val="0"/>
      <w:marRight w:val="0"/>
      <w:marTop w:val="0"/>
      <w:marBottom w:val="0"/>
      <w:divBdr>
        <w:top w:val="none" w:sz="0" w:space="0" w:color="auto"/>
        <w:left w:val="none" w:sz="0" w:space="0" w:color="auto"/>
        <w:bottom w:val="none" w:sz="0" w:space="0" w:color="auto"/>
        <w:right w:val="none" w:sz="0" w:space="0" w:color="auto"/>
      </w:divBdr>
    </w:div>
    <w:div w:id="703672283">
      <w:bodyDiv w:val="1"/>
      <w:marLeft w:val="0"/>
      <w:marRight w:val="0"/>
      <w:marTop w:val="0"/>
      <w:marBottom w:val="0"/>
      <w:divBdr>
        <w:top w:val="none" w:sz="0" w:space="0" w:color="auto"/>
        <w:left w:val="none" w:sz="0" w:space="0" w:color="auto"/>
        <w:bottom w:val="none" w:sz="0" w:space="0" w:color="auto"/>
        <w:right w:val="none" w:sz="0" w:space="0" w:color="auto"/>
      </w:divBdr>
    </w:div>
    <w:div w:id="866060770">
      <w:bodyDiv w:val="1"/>
      <w:marLeft w:val="0"/>
      <w:marRight w:val="0"/>
      <w:marTop w:val="0"/>
      <w:marBottom w:val="0"/>
      <w:divBdr>
        <w:top w:val="none" w:sz="0" w:space="0" w:color="auto"/>
        <w:left w:val="none" w:sz="0" w:space="0" w:color="auto"/>
        <w:bottom w:val="none" w:sz="0" w:space="0" w:color="auto"/>
        <w:right w:val="none" w:sz="0" w:space="0" w:color="auto"/>
      </w:divBdr>
    </w:div>
    <w:div w:id="873663635">
      <w:bodyDiv w:val="1"/>
      <w:marLeft w:val="0"/>
      <w:marRight w:val="0"/>
      <w:marTop w:val="0"/>
      <w:marBottom w:val="0"/>
      <w:divBdr>
        <w:top w:val="none" w:sz="0" w:space="0" w:color="auto"/>
        <w:left w:val="none" w:sz="0" w:space="0" w:color="auto"/>
        <w:bottom w:val="none" w:sz="0" w:space="0" w:color="auto"/>
        <w:right w:val="none" w:sz="0" w:space="0" w:color="auto"/>
      </w:divBdr>
    </w:div>
    <w:div w:id="1606156336">
      <w:bodyDiv w:val="1"/>
      <w:marLeft w:val="0"/>
      <w:marRight w:val="0"/>
      <w:marTop w:val="0"/>
      <w:marBottom w:val="0"/>
      <w:divBdr>
        <w:top w:val="none" w:sz="0" w:space="0" w:color="auto"/>
        <w:left w:val="none" w:sz="0" w:space="0" w:color="auto"/>
        <w:bottom w:val="none" w:sz="0" w:space="0" w:color="auto"/>
        <w:right w:val="none" w:sz="0" w:space="0" w:color="auto"/>
      </w:divBdr>
    </w:div>
    <w:div w:id="1687367213">
      <w:bodyDiv w:val="1"/>
      <w:marLeft w:val="0"/>
      <w:marRight w:val="0"/>
      <w:marTop w:val="0"/>
      <w:marBottom w:val="0"/>
      <w:divBdr>
        <w:top w:val="none" w:sz="0" w:space="0" w:color="auto"/>
        <w:left w:val="none" w:sz="0" w:space="0" w:color="auto"/>
        <w:bottom w:val="none" w:sz="0" w:space="0" w:color="auto"/>
        <w:right w:val="none" w:sz="0" w:space="0" w:color="auto"/>
      </w:divBdr>
    </w:div>
    <w:div w:id="1744598639">
      <w:bodyDiv w:val="1"/>
      <w:marLeft w:val="0"/>
      <w:marRight w:val="0"/>
      <w:marTop w:val="0"/>
      <w:marBottom w:val="0"/>
      <w:divBdr>
        <w:top w:val="none" w:sz="0" w:space="0" w:color="auto"/>
        <w:left w:val="none" w:sz="0" w:space="0" w:color="auto"/>
        <w:bottom w:val="none" w:sz="0" w:space="0" w:color="auto"/>
        <w:right w:val="none" w:sz="0" w:space="0" w:color="auto"/>
      </w:divBdr>
    </w:div>
    <w:div w:id="214253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PADescription xmlns="a3c3f228-6772-4047-ad90-2f0678439fc9" xsi:nil="true"/>
  </documentManagement>
</p:properties>
</file>

<file path=customXml/itemProps1.xml><?xml version="1.0" encoding="utf-8"?>
<ds:datastoreItem xmlns:ds="http://schemas.openxmlformats.org/officeDocument/2006/customXml" ds:itemID="{5DB88BC1-93B6-4785-8293-0F8204121602}">
  <ds:schemaRefs>
    <ds:schemaRef ds:uri="http://schemas.microsoft.com/sharepoint/v3/contenttype/forms"/>
  </ds:schemaRefs>
</ds:datastoreItem>
</file>

<file path=customXml/itemProps2.xml><?xml version="1.0" encoding="utf-8"?>
<ds:datastoreItem xmlns:ds="http://schemas.openxmlformats.org/officeDocument/2006/customXml" ds:itemID="{4E4EA063-A172-411F-9DE7-57699AF0E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0D6FC5-B1D0-464B-95FC-F3CE708CC5AA}">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1362</Words>
  <Characters>7764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Hasib Rahman Habibzai</dc:creator>
  <cp:keywords/>
  <dc:description/>
  <cp:lastModifiedBy>Hamidullah Sediqi</cp:lastModifiedBy>
  <cp:revision>2</cp:revision>
  <dcterms:created xsi:type="dcterms:W3CDTF">2024-12-11T04:44:00Z</dcterms:created>
  <dcterms:modified xsi:type="dcterms:W3CDTF">2024-12-11T04:44:00Z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