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5F082" w14:textId="182B28F0" w:rsidR="00AE023D" w:rsidRDefault="004704E7" w:rsidP="0034533D">
      <w:pPr>
        <w:spacing w:before="240" w:after="120"/>
        <w:rPr>
          <w:rFonts w:ascii="Arial" w:hAnsi="Arial" w:cs="Arial"/>
          <w:b/>
          <w:sz w:val="22"/>
        </w:rPr>
      </w:pPr>
      <w:r>
        <w:rPr>
          <w:rFonts w:ascii="Arial" w:hAnsi="Arial" w:cs="Arial"/>
          <w:b/>
          <w:noProof/>
          <w:sz w:val="22"/>
        </w:rPr>
        <w:drawing>
          <wp:anchor distT="0" distB="0" distL="114300" distR="114300" simplePos="0" relativeHeight="251658240" behindDoc="0" locked="0" layoutInCell="1" allowOverlap="1" wp14:anchorId="6CA10366" wp14:editId="30C35113">
            <wp:simplePos x="0" y="0"/>
            <wp:positionH relativeFrom="column">
              <wp:posOffset>2660650</wp:posOffset>
            </wp:positionH>
            <wp:positionV relativeFrom="paragraph">
              <wp:posOffset>-57150</wp:posOffset>
            </wp:positionV>
            <wp:extent cx="755650" cy="711200"/>
            <wp:effectExtent l="0" t="0" r="6350" b="0"/>
            <wp:wrapNone/>
            <wp:docPr id="1714540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11DE8" w14:textId="27A24B30" w:rsidR="00E97613" w:rsidRDefault="00E97613" w:rsidP="0034533D">
      <w:pPr>
        <w:spacing w:before="240" w:after="120"/>
        <w:rPr>
          <w:rFonts w:ascii="Arial" w:hAnsi="Arial" w:cs="Arial"/>
          <w:b/>
          <w:sz w:val="22"/>
        </w:rPr>
      </w:pPr>
    </w:p>
    <w:p w14:paraId="0592B49E" w14:textId="47082E2C" w:rsidR="00E97613" w:rsidRPr="009243D6" w:rsidRDefault="00E97613" w:rsidP="00190D28">
      <w:pPr>
        <w:jc w:val="center"/>
        <w:rPr>
          <w:rFonts w:ascii="Arial" w:hAnsi="Arial" w:cs="Arial"/>
          <w:b/>
        </w:rPr>
      </w:pPr>
      <w:r w:rsidRPr="009243D6">
        <w:rPr>
          <w:rFonts w:ascii="Arial" w:hAnsi="Arial" w:cs="Arial"/>
          <w:b/>
        </w:rPr>
        <w:t>Aga Khan Health Services (AKHS-A)</w:t>
      </w:r>
    </w:p>
    <w:p w14:paraId="15DE07E9" w14:textId="7F7602F1" w:rsidR="00E97613" w:rsidRPr="009243D6" w:rsidRDefault="00E97613" w:rsidP="00190D28">
      <w:pPr>
        <w:jc w:val="center"/>
        <w:rPr>
          <w:rFonts w:ascii="Arial" w:hAnsi="Arial" w:cs="Arial"/>
          <w:b/>
        </w:rPr>
      </w:pPr>
      <w:r w:rsidRPr="009243D6">
        <w:rPr>
          <w:rFonts w:ascii="Arial" w:hAnsi="Arial" w:cs="Arial"/>
          <w:b/>
        </w:rPr>
        <w:t>National Program Office</w:t>
      </w:r>
    </w:p>
    <w:p w14:paraId="7EC88D01" w14:textId="20B2691A" w:rsidR="00AE023D" w:rsidRPr="00E97613" w:rsidRDefault="00E97613" w:rsidP="00E97613">
      <w:pPr>
        <w:spacing w:before="240" w:after="120"/>
        <w:jc w:val="center"/>
        <w:rPr>
          <w:rFonts w:ascii="Arial" w:hAnsi="Arial" w:cs="Arial"/>
          <w:b/>
          <w:sz w:val="32"/>
          <w:szCs w:val="32"/>
        </w:rPr>
      </w:pPr>
      <w:r w:rsidRPr="00E97613">
        <w:rPr>
          <w:rFonts w:ascii="Arial" w:hAnsi="Arial" w:cs="Arial"/>
          <w:b/>
          <w:sz w:val="32"/>
          <w:szCs w:val="32"/>
        </w:rPr>
        <w:t>Invitation to Tender (ITT)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110"/>
      </w:tblGrid>
      <w:tr w:rsidR="0034533D" w:rsidRPr="0034533D" w14:paraId="36C17BA5" w14:textId="77777777" w:rsidTr="00190D28">
        <w:trPr>
          <w:trHeight w:val="422"/>
        </w:trPr>
        <w:tc>
          <w:tcPr>
            <w:tcW w:w="2520" w:type="dxa"/>
            <w:vAlign w:val="center"/>
          </w:tcPr>
          <w:p w14:paraId="6ED66C9A" w14:textId="75120857" w:rsidR="0034533D" w:rsidRPr="002E709A" w:rsidRDefault="00E97613" w:rsidP="00E97613">
            <w:pPr>
              <w:spacing w:after="120"/>
              <w:rPr>
                <w:rFonts w:ascii="Arial" w:hAnsi="Arial" w:cs="Arial"/>
                <w:b/>
                <w:sz w:val="22"/>
                <w:szCs w:val="22"/>
              </w:rPr>
            </w:pPr>
            <w:r w:rsidRPr="002E709A">
              <w:rPr>
                <w:rFonts w:ascii="Arial" w:hAnsi="Arial" w:cs="Arial"/>
                <w:b/>
                <w:sz w:val="22"/>
                <w:szCs w:val="22"/>
              </w:rPr>
              <w:t xml:space="preserve">Date:   </w:t>
            </w:r>
          </w:p>
        </w:tc>
        <w:tc>
          <w:tcPr>
            <w:tcW w:w="7110" w:type="dxa"/>
            <w:vAlign w:val="center"/>
          </w:tcPr>
          <w:p w14:paraId="331138EC" w14:textId="5D598150" w:rsidR="0034533D" w:rsidRPr="002E709A" w:rsidRDefault="00B81107" w:rsidP="00B81107">
            <w:pPr>
              <w:spacing w:after="120"/>
              <w:rPr>
                <w:rFonts w:ascii="Arial" w:hAnsi="Arial" w:cs="Arial"/>
                <w:bCs/>
                <w:sz w:val="22"/>
                <w:szCs w:val="22"/>
              </w:rPr>
            </w:pPr>
            <w:r w:rsidRPr="002E709A">
              <w:rPr>
                <w:rFonts w:ascii="Arial" w:hAnsi="Arial" w:cs="Arial"/>
                <w:bCs/>
                <w:sz w:val="22"/>
                <w:szCs w:val="22"/>
              </w:rPr>
              <w:t>06</w:t>
            </w:r>
            <w:r w:rsidR="002E709A">
              <w:rPr>
                <w:rFonts w:ascii="Arial" w:hAnsi="Arial" w:cs="Arial"/>
                <w:bCs/>
                <w:sz w:val="22"/>
                <w:szCs w:val="22"/>
              </w:rPr>
              <w:t>-</w:t>
            </w:r>
            <w:r w:rsidRPr="002E709A">
              <w:rPr>
                <w:rFonts w:ascii="Arial" w:hAnsi="Arial" w:cs="Arial"/>
                <w:bCs/>
                <w:sz w:val="22"/>
                <w:szCs w:val="22"/>
              </w:rPr>
              <w:t>May</w:t>
            </w:r>
            <w:r w:rsidR="002E709A">
              <w:rPr>
                <w:rFonts w:ascii="Arial" w:hAnsi="Arial" w:cs="Arial"/>
                <w:bCs/>
                <w:sz w:val="22"/>
                <w:szCs w:val="22"/>
              </w:rPr>
              <w:t>-</w:t>
            </w:r>
            <w:r w:rsidR="00E97613" w:rsidRPr="002E709A">
              <w:rPr>
                <w:rFonts w:ascii="Arial" w:hAnsi="Arial" w:cs="Arial"/>
                <w:bCs/>
                <w:sz w:val="22"/>
                <w:szCs w:val="22"/>
              </w:rPr>
              <w:t>2024</w:t>
            </w:r>
          </w:p>
        </w:tc>
      </w:tr>
      <w:tr w:rsidR="0034533D" w:rsidRPr="0034533D" w14:paraId="6CFD8B88" w14:textId="77777777" w:rsidTr="00190D28">
        <w:trPr>
          <w:trHeight w:val="296"/>
        </w:trPr>
        <w:tc>
          <w:tcPr>
            <w:tcW w:w="2520" w:type="dxa"/>
          </w:tcPr>
          <w:p w14:paraId="37B12E7A" w14:textId="224EE1EA" w:rsidR="0034533D" w:rsidRPr="002E709A" w:rsidRDefault="00E97613" w:rsidP="00E97613">
            <w:pPr>
              <w:spacing w:after="120"/>
              <w:rPr>
                <w:rFonts w:ascii="Arial" w:hAnsi="Arial" w:cs="Arial"/>
                <w:b/>
                <w:sz w:val="22"/>
                <w:szCs w:val="22"/>
              </w:rPr>
            </w:pPr>
            <w:r w:rsidRPr="002E709A">
              <w:rPr>
                <w:rFonts w:ascii="Arial" w:hAnsi="Arial" w:cs="Arial"/>
                <w:b/>
                <w:sz w:val="22"/>
                <w:szCs w:val="22"/>
              </w:rPr>
              <w:t xml:space="preserve">Reference No.: </w:t>
            </w:r>
            <w:r w:rsidR="00B81107" w:rsidRPr="002E709A">
              <w:rPr>
                <w:rFonts w:ascii="Arial" w:hAnsi="Arial" w:cs="Arial"/>
                <w:b/>
                <w:sz w:val="22"/>
                <w:szCs w:val="22"/>
              </w:rPr>
              <w:t xml:space="preserve"> </w:t>
            </w:r>
          </w:p>
        </w:tc>
        <w:tc>
          <w:tcPr>
            <w:tcW w:w="7110" w:type="dxa"/>
          </w:tcPr>
          <w:p w14:paraId="2350C761" w14:textId="473D99E9" w:rsidR="0034533D" w:rsidRPr="002E709A" w:rsidRDefault="00B81107" w:rsidP="00B81107">
            <w:pPr>
              <w:spacing w:after="120"/>
              <w:rPr>
                <w:rFonts w:ascii="Arial" w:hAnsi="Arial" w:cs="Arial"/>
                <w:bCs/>
                <w:sz w:val="22"/>
                <w:szCs w:val="22"/>
              </w:rPr>
            </w:pPr>
            <w:r w:rsidRPr="002E709A">
              <w:rPr>
                <w:rFonts w:ascii="Arial" w:hAnsi="Arial" w:cs="Arial"/>
                <w:bCs/>
                <w:sz w:val="22"/>
                <w:szCs w:val="22"/>
              </w:rPr>
              <w:t>NCB/MS/0072/2024</w:t>
            </w:r>
          </w:p>
        </w:tc>
      </w:tr>
      <w:tr w:rsidR="0034533D" w:rsidRPr="0034533D" w14:paraId="2133B463" w14:textId="77777777" w:rsidTr="002E709A">
        <w:trPr>
          <w:trHeight w:val="594"/>
        </w:trPr>
        <w:tc>
          <w:tcPr>
            <w:tcW w:w="2520" w:type="dxa"/>
            <w:vAlign w:val="center"/>
          </w:tcPr>
          <w:p w14:paraId="55DEE28E" w14:textId="6BCBDB42" w:rsidR="0034533D" w:rsidRPr="002E709A" w:rsidRDefault="00E97613" w:rsidP="00E97613">
            <w:pPr>
              <w:spacing w:after="120"/>
              <w:rPr>
                <w:rFonts w:ascii="Arial" w:hAnsi="Arial" w:cs="Arial"/>
                <w:b/>
                <w:sz w:val="22"/>
                <w:szCs w:val="22"/>
              </w:rPr>
            </w:pPr>
            <w:r w:rsidRPr="002E709A">
              <w:rPr>
                <w:rFonts w:ascii="Arial" w:hAnsi="Arial" w:cs="Arial"/>
                <w:b/>
                <w:sz w:val="22"/>
                <w:szCs w:val="22"/>
              </w:rPr>
              <w:t xml:space="preserve">Package </w:t>
            </w:r>
            <w:r w:rsidR="00D53902" w:rsidRPr="002E709A">
              <w:rPr>
                <w:rFonts w:ascii="Arial" w:hAnsi="Arial" w:cs="Arial"/>
                <w:b/>
                <w:sz w:val="22"/>
                <w:szCs w:val="22"/>
              </w:rPr>
              <w:t>Name</w:t>
            </w:r>
            <w:r w:rsidRPr="002E709A">
              <w:rPr>
                <w:rFonts w:ascii="Arial" w:hAnsi="Arial" w:cs="Arial"/>
                <w:b/>
                <w:sz w:val="22"/>
                <w:szCs w:val="22"/>
              </w:rPr>
              <w:t xml:space="preserve">: </w:t>
            </w:r>
          </w:p>
        </w:tc>
        <w:tc>
          <w:tcPr>
            <w:tcW w:w="7110" w:type="dxa"/>
            <w:vAlign w:val="center"/>
          </w:tcPr>
          <w:p w14:paraId="62A64F0E" w14:textId="42DC822A" w:rsidR="0034533D" w:rsidRPr="002E709A" w:rsidRDefault="00B81107" w:rsidP="002E709A">
            <w:pPr>
              <w:spacing w:after="120"/>
              <w:rPr>
                <w:rFonts w:ascii="Arial" w:hAnsi="Arial" w:cs="Arial"/>
                <w:bCs/>
                <w:sz w:val="22"/>
                <w:szCs w:val="22"/>
              </w:rPr>
            </w:pPr>
            <w:bookmarkStart w:id="0" w:name="_Hlk165755762"/>
            <w:r w:rsidRPr="002E709A">
              <w:rPr>
                <w:rFonts w:ascii="Arial" w:hAnsi="Arial" w:cs="Arial"/>
                <w:bCs/>
                <w:sz w:val="22"/>
                <w:szCs w:val="22"/>
              </w:rPr>
              <w:t>Pharmaceutical Items (Medicine, Lab Reagent and Consumable for 3 quarter in three (3) lots</w:t>
            </w:r>
            <w:bookmarkEnd w:id="0"/>
          </w:p>
        </w:tc>
      </w:tr>
      <w:tr w:rsidR="0034533D" w:rsidRPr="0034533D" w14:paraId="30B0185D" w14:textId="77777777" w:rsidTr="00190D28">
        <w:trPr>
          <w:trHeight w:val="278"/>
        </w:trPr>
        <w:tc>
          <w:tcPr>
            <w:tcW w:w="2520" w:type="dxa"/>
            <w:vAlign w:val="center"/>
          </w:tcPr>
          <w:p w14:paraId="579C0DCF" w14:textId="1D8CE582" w:rsidR="0034533D" w:rsidRPr="002E709A" w:rsidRDefault="00E97613" w:rsidP="00E97613">
            <w:pPr>
              <w:spacing w:after="120"/>
              <w:rPr>
                <w:rFonts w:ascii="Arial" w:hAnsi="Arial" w:cs="Arial"/>
                <w:b/>
                <w:sz w:val="22"/>
                <w:szCs w:val="22"/>
              </w:rPr>
            </w:pPr>
            <w:r w:rsidRPr="002E709A">
              <w:rPr>
                <w:rFonts w:ascii="Arial" w:hAnsi="Arial" w:cs="Arial"/>
                <w:b/>
                <w:sz w:val="22"/>
                <w:szCs w:val="22"/>
              </w:rPr>
              <w:t>Deadline for Bids Submission</w:t>
            </w:r>
          </w:p>
        </w:tc>
        <w:tc>
          <w:tcPr>
            <w:tcW w:w="7110" w:type="dxa"/>
            <w:vAlign w:val="center"/>
          </w:tcPr>
          <w:p w14:paraId="18CAA1DB" w14:textId="29AE202F" w:rsidR="0034533D" w:rsidRPr="002E709A" w:rsidRDefault="00567D3E" w:rsidP="00E97613">
            <w:pPr>
              <w:rPr>
                <w:rFonts w:ascii="Arial" w:eastAsiaTheme="majorEastAsia" w:hAnsi="Arial" w:cs="Arial"/>
                <w:bCs/>
                <w:i/>
                <w:iCs/>
                <w:color w:val="404040" w:themeColor="text1" w:themeTint="BF"/>
                <w:sz w:val="22"/>
                <w:szCs w:val="22"/>
              </w:rPr>
            </w:pPr>
            <w:r>
              <w:rPr>
                <w:rFonts w:ascii="Arial" w:hAnsi="Arial" w:cs="Arial"/>
                <w:bCs/>
                <w:sz w:val="22"/>
                <w:szCs w:val="22"/>
              </w:rPr>
              <w:t xml:space="preserve">Date: </w:t>
            </w:r>
            <w:r w:rsidR="00B81107" w:rsidRPr="002E709A">
              <w:rPr>
                <w:rFonts w:ascii="Arial" w:hAnsi="Arial" w:cs="Arial"/>
                <w:bCs/>
                <w:sz w:val="22"/>
                <w:szCs w:val="22"/>
              </w:rPr>
              <w:t>16</w:t>
            </w:r>
            <w:r w:rsidR="002E709A">
              <w:rPr>
                <w:rFonts w:ascii="Arial" w:hAnsi="Arial" w:cs="Arial"/>
                <w:bCs/>
                <w:sz w:val="22"/>
                <w:szCs w:val="22"/>
              </w:rPr>
              <w:t>-</w:t>
            </w:r>
            <w:r w:rsidR="00B81107" w:rsidRPr="002E709A">
              <w:rPr>
                <w:rFonts w:ascii="Arial" w:hAnsi="Arial" w:cs="Arial"/>
                <w:bCs/>
                <w:sz w:val="22"/>
                <w:szCs w:val="22"/>
              </w:rPr>
              <w:t>May</w:t>
            </w:r>
            <w:r w:rsidR="002E709A">
              <w:rPr>
                <w:rFonts w:ascii="Arial" w:hAnsi="Arial" w:cs="Arial"/>
                <w:bCs/>
                <w:sz w:val="22"/>
                <w:szCs w:val="22"/>
              </w:rPr>
              <w:t>-</w:t>
            </w:r>
            <w:r w:rsidR="00E97613" w:rsidRPr="002E709A">
              <w:rPr>
                <w:rFonts w:ascii="Arial" w:hAnsi="Arial" w:cs="Arial"/>
                <w:bCs/>
                <w:sz w:val="22"/>
                <w:szCs w:val="22"/>
              </w:rPr>
              <w:t>2024</w:t>
            </w:r>
            <w:r>
              <w:rPr>
                <w:rFonts w:ascii="Arial" w:hAnsi="Arial" w:cs="Arial"/>
                <w:bCs/>
                <w:sz w:val="22"/>
                <w:szCs w:val="22"/>
              </w:rPr>
              <w:t>, Time: 10 AM</w:t>
            </w:r>
          </w:p>
        </w:tc>
      </w:tr>
    </w:tbl>
    <w:p w14:paraId="6EA37E66" w14:textId="77777777" w:rsidR="0034533D" w:rsidRDefault="0034533D">
      <w:pPr>
        <w:rPr>
          <w:rFonts w:ascii="Helvetica Neue Light" w:hAnsi="Helvetica Neue Light"/>
        </w:rPr>
      </w:pPr>
    </w:p>
    <w:p w14:paraId="11350E5C" w14:textId="2077CE76" w:rsidR="00AE023D" w:rsidRPr="002E709A" w:rsidRDefault="00E97613">
      <w:pPr>
        <w:rPr>
          <w:rFonts w:ascii="Helvetica Neue Light" w:hAnsi="Helvetica Neue Light"/>
          <w:b/>
          <w:bCs/>
        </w:rPr>
      </w:pPr>
      <w:r w:rsidRPr="002E709A">
        <w:rPr>
          <w:rFonts w:ascii="Helvetica Neue Light" w:hAnsi="Helvetica Neue Light"/>
          <w:b/>
          <w:bCs/>
        </w:rPr>
        <w:t>Background</w:t>
      </w:r>
    </w:p>
    <w:p w14:paraId="1CD322C1" w14:textId="77777777" w:rsidR="00E97613" w:rsidRDefault="00E97613">
      <w:pPr>
        <w:rPr>
          <w:rFonts w:ascii="Helvetica Neue Light" w:hAnsi="Helvetica Neue Light"/>
        </w:rPr>
      </w:pPr>
    </w:p>
    <w:p w14:paraId="5640A2D1" w14:textId="1A0E0F1F" w:rsidR="00B81107" w:rsidRPr="00B81107" w:rsidRDefault="008917DF" w:rsidP="00B81107">
      <w:pPr>
        <w:pStyle w:val="ListParagraph"/>
        <w:ind w:left="0"/>
        <w:jc w:val="both"/>
        <w:rPr>
          <w:rFonts w:ascii="Arial" w:hAnsi="Arial" w:cs="Arial"/>
          <w:sz w:val="22"/>
          <w:szCs w:val="22"/>
        </w:rPr>
      </w:pPr>
      <w:r w:rsidRPr="006F79B7">
        <w:rPr>
          <w:rFonts w:ascii="Arial" w:hAnsi="Arial" w:cs="Arial"/>
          <w:sz w:val="22"/>
          <w:szCs w:val="22"/>
        </w:rPr>
        <w:t xml:space="preserve">The </w:t>
      </w:r>
      <w:r w:rsidR="00E97613">
        <w:rPr>
          <w:rFonts w:ascii="Arial" w:hAnsi="Arial" w:cs="Arial"/>
          <w:sz w:val="22"/>
          <w:szCs w:val="22"/>
        </w:rPr>
        <w:t>Aga Khan Health Services – Afghanistan</w:t>
      </w:r>
      <w:r w:rsidRPr="006F79B7">
        <w:rPr>
          <w:rFonts w:ascii="Arial" w:hAnsi="Arial" w:cs="Arial"/>
          <w:sz w:val="22"/>
          <w:szCs w:val="22"/>
        </w:rPr>
        <w:t xml:space="preserve"> herein referred to as “</w:t>
      </w:r>
      <w:r w:rsidR="00E97613">
        <w:rPr>
          <w:rFonts w:ascii="Arial" w:hAnsi="Arial" w:cs="Arial"/>
          <w:sz w:val="22"/>
          <w:szCs w:val="22"/>
        </w:rPr>
        <w:t>Client</w:t>
      </w:r>
      <w:r w:rsidRPr="006F79B7">
        <w:rPr>
          <w:rFonts w:ascii="Arial" w:hAnsi="Arial" w:cs="Arial"/>
          <w:sz w:val="22"/>
          <w:szCs w:val="22"/>
        </w:rPr>
        <w:t xml:space="preserve">” invites sealed bids (technical &amp; price bids in </w:t>
      </w:r>
      <w:r w:rsidR="00AC2EA9">
        <w:rPr>
          <w:rFonts w:ascii="Arial" w:hAnsi="Arial" w:cs="Arial"/>
          <w:sz w:val="22"/>
          <w:szCs w:val="22"/>
        </w:rPr>
        <w:t>one</w:t>
      </w:r>
      <w:r w:rsidR="00AC2EA9" w:rsidRPr="006F79B7">
        <w:rPr>
          <w:rFonts w:ascii="Arial" w:hAnsi="Arial" w:cs="Arial"/>
          <w:sz w:val="22"/>
          <w:szCs w:val="22"/>
        </w:rPr>
        <w:t xml:space="preserve"> </w:t>
      </w:r>
      <w:r w:rsidRPr="006F79B7">
        <w:rPr>
          <w:rFonts w:ascii="Arial" w:hAnsi="Arial" w:cs="Arial"/>
          <w:sz w:val="22"/>
          <w:szCs w:val="22"/>
        </w:rPr>
        <w:t xml:space="preserve">envelope) from eligible bidders for </w:t>
      </w:r>
      <w:r w:rsidR="009243D6">
        <w:rPr>
          <w:rFonts w:ascii="Arial" w:hAnsi="Arial" w:cs="Arial"/>
          <w:sz w:val="22"/>
          <w:szCs w:val="22"/>
        </w:rPr>
        <w:t>the procurement of</w:t>
      </w:r>
      <w:r w:rsidRPr="006F79B7">
        <w:rPr>
          <w:rFonts w:ascii="Arial" w:hAnsi="Arial" w:cs="Arial"/>
          <w:sz w:val="22"/>
          <w:szCs w:val="22"/>
        </w:rPr>
        <w:t xml:space="preserve"> </w:t>
      </w:r>
      <w:r w:rsidR="00B81107" w:rsidRPr="00B81107">
        <w:rPr>
          <w:rFonts w:ascii="Arial" w:hAnsi="Arial" w:cs="Arial"/>
          <w:sz w:val="22"/>
          <w:szCs w:val="22"/>
        </w:rPr>
        <w:t>Pharmaceutical Items (Medicine, Lab Reagent and Consumable for 3 quarter in three (3) lots</w:t>
      </w:r>
      <w:r w:rsidR="00B81107">
        <w:rPr>
          <w:rFonts w:ascii="Arial" w:hAnsi="Arial" w:cs="Arial"/>
          <w:sz w:val="22"/>
          <w:szCs w:val="22"/>
        </w:rPr>
        <w:t>.</w:t>
      </w:r>
    </w:p>
    <w:p w14:paraId="7F1E66D1" w14:textId="77777777" w:rsidR="008917DF" w:rsidRPr="006F79B7" w:rsidRDefault="008917DF" w:rsidP="008917DF">
      <w:pPr>
        <w:jc w:val="both"/>
        <w:rPr>
          <w:rFonts w:ascii="Arial" w:hAnsi="Arial" w:cs="Arial"/>
          <w:sz w:val="22"/>
          <w:szCs w:val="22"/>
        </w:rPr>
      </w:pPr>
    </w:p>
    <w:p w14:paraId="4C5B50C4" w14:textId="59BD383A" w:rsidR="008321F9" w:rsidRPr="006F79B7" w:rsidRDefault="008917DF" w:rsidP="00E97613">
      <w:pPr>
        <w:pStyle w:val="ListParagraph"/>
        <w:ind w:left="0"/>
        <w:jc w:val="both"/>
        <w:rPr>
          <w:rFonts w:ascii="Arial" w:hAnsi="Arial" w:cs="Arial"/>
          <w:sz w:val="22"/>
          <w:szCs w:val="22"/>
        </w:rPr>
      </w:pPr>
      <w:r w:rsidRPr="006F79B7">
        <w:rPr>
          <w:rFonts w:ascii="Arial" w:hAnsi="Arial" w:cs="Arial"/>
          <w:sz w:val="22"/>
          <w:szCs w:val="22"/>
        </w:rPr>
        <w:t xml:space="preserve">National Competitive Bidding (NCB) will be conducted and is open to all Bidders </w:t>
      </w:r>
      <w:r w:rsidR="006C6014">
        <w:rPr>
          <w:rFonts w:ascii="Arial" w:hAnsi="Arial" w:cs="Arial"/>
          <w:sz w:val="22"/>
          <w:szCs w:val="22"/>
        </w:rPr>
        <w:t xml:space="preserve">who </w:t>
      </w:r>
      <w:r w:rsidR="009243D6">
        <w:rPr>
          <w:rFonts w:ascii="Arial" w:hAnsi="Arial" w:cs="Arial"/>
          <w:sz w:val="22"/>
          <w:szCs w:val="22"/>
        </w:rPr>
        <w:t>have</w:t>
      </w:r>
      <w:r w:rsidR="006C6014">
        <w:rPr>
          <w:rFonts w:ascii="Arial" w:hAnsi="Arial" w:cs="Arial"/>
          <w:sz w:val="22"/>
          <w:szCs w:val="22"/>
        </w:rPr>
        <w:t xml:space="preserve"> experience </w:t>
      </w:r>
      <w:r w:rsidR="009243D6">
        <w:rPr>
          <w:rFonts w:ascii="Arial" w:hAnsi="Arial" w:cs="Arial"/>
          <w:sz w:val="22"/>
          <w:szCs w:val="22"/>
        </w:rPr>
        <w:t>relevant to this procurement</w:t>
      </w:r>
      <w:r w:rsidR="00CC1A06">
        <w:rPr>
          <w:rFonts w:ascii="Arial" w:hAnsi="Arial" w:cs="Arial"/>
          <w:sz w:val="22"/>
          <w:szCs w:val="22"/>
        </w:rPr>
        <w:t>, the specifications, delivery requirements, and other terms and conditions are reflected in the Bidding Documents.</w:t>
      </w:r>
    </w:p>
    <w:p w14:paraId="66365E52" w14:textId="77777777" w:rsidR="00C73B69" w:rsidRPr="006F79B7" w:rsidRDefault="00C73B69" w:rsidP="008321F9">
      <w:pPr>
        <w:pStyle w:val="ListParagraph"/>
        <w:ind w:left="0"/>
        <w:jc w:val="both"/>
        <w:rPr>
          <w:rFonts w:ascii="Arial" w:hAnsi="Arial" w:cs="Arial"/>
          <w:sz w:val="22"/>
          <w:szCs w:val="22"/>
        </w:rPr>
      </w:pPr>
    </w:p>
    <w:p w14:paraId="4ECD57F0" w14:textId="429A92CA" w:rsidR="00C73B69" w:rsidRDefault="00D53902" w:rsidP="006C6014">
      <w:pPr>
        <w:pStyle w:val="ListParagraph"/>
        <w:ind w:left="0"/>
        <w:jc w:val="both"/>
        <w:rPr>
          <w:rFonts w:ascii="Arial" w:hAnsi="Arial" w:cs="Arial"/>
          <w:sz w:val="22"/>
          <w:szCs w:val="22"/>
        </w:rPr>
      </w:pPr>
      <w:r>
        <w:rPr>
          <w:rFonts w:ascii="Arial" w:hAnsi="Arial" w:cs="Arial"/>
          <w:sz w:val="22"/>
          <w:szCs w:val="22"/>
        </w:rPr>
        <w:t>E</w:t>
      </w:r>
      <w:r w:rsidR="00C73B69">
        <w:rPr>
          <w:rFonts w:ascii="Arial" w:hAnsi="Arial" w:cs="Arial"/>
          <w:sz w:val="22"/>
          <w:szCs w:val="22"/>
        </w:rPr>
        <w:t>ligible bidders with the following key qualifications should participate in this bidding:</w:t>
      </w:r>
    </w:p>
    <w:p w14:paraId="51EF05B1" w14:textId="77777777" w:rsidR="00BE2AF4" w:rsidRDefault="00BE2AF4" w:rsidP="00190D28">
      <w:pPr>
        <w:pStyle w:val="ListParagraph"/>
        <w:ind w:left="0"/>
        <w:jc w:val="both"/>
        <w:rPr>
          <w:rFonts w:ascii="Arial" w:hAnsi="Arial" w:cs="Arial"/>
          <w:sz w:val="22"/>
          <w:szCs w:val="22"/>
        </w:rPr>
      </w:pPr>
    </w:p>
    <w:p w14:paraId="493063F6" w14:textId="31A9A32A" w:rsidR="00BE2AF4" w:rsidRPr="00D53902" w:rsidRDefault="00BE2AF4" w:rsidP="0065690B">
      <w:pPr>
        <w:pStyle w:val="ListParagraph"/>
        <w:ind w:left="0"/>
        <w:jc w:val="both"/>
        <w:rPr>
          <w:rFonts w:ascii="Arial" w:hAnsi="Arial" w:cs="Arial"/>
          <w:b/>
          <w:bCs/>
          <w:sz w:val="22"/>
          <w:szCs w:val="22"/>
        </w:rPr>
      </w:pPr>
      <w:r w:rsidRPr="00D53902">
        <w:rPr>
          <w:rFonts w:ascii="Arial" w:hAnsi="Arial" w:cs="Arial"/>
          <w:b/>
          <w:bCs/>
          <w:sz w:val="22"/>
          <w:szCs w:val="22"/>
        </w:rPr>
        <w:t>Qualification</w:t>
      </w:r>
      <w:r w:rsidR="0065690B" w:rsidRPr="00D53902">
        <w:rPr>
          <w:rFonts w:ascii="Arial" w:hAnsi="Arial" w:cs="Arial"/>
          <w:b/>
          <w:bCs/>
          <w:sz w:val="22"/>
          <w:szCs w:val="22"/>
        </w:rPr>
        <w:t xml:space="preserve"> Criteria: </w:t>
      </w:r>
      <w:r w:rsidR="00B81107">
        <w:rPr>
          <w:rFonts w:ascii="Arial" w:hAnsi="Arial" w:cs="Arial"/>
          <w:b/>
          <w:bCs/>
          <w:sz w:val="22"/>
          <w:szCs w:val="22"/>
        </w:rPr>
        <w:t>LOT-1 (Medicine)</w:t>
      </w:r>
    </w:p>
    <w:tbl>
      <w:tblPr>
        <w:tblpPr w:leftFromText="180" w:rightFromText="180" w:vertAnchor="text" w:tblpX="13" w:tblpY="1"/>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593"/>
        <w:gridCol w:w="6497"/>
      </w:tblGrid>
      <w:tr w:rsidR="0090147A" w:rsidRPr="00EC151A" w14:paraId="30B4F996" w14:textId="77777777" w:rsidTr="00306EF1">
        <w:trPr>
          <w:trHeight w:val="261"/>
          <w:tblHeader/>
        </w:trPr>
        <w:tc>
          <w:tcPr>
            <w:tcW w:w="535" w:type="dxa"/>
            <w:shd w:val="clear" w:color="auto" w:fill="FDE9D9" w:themeFill="accent6" w:themeFillTint="33"/>
            <w:vAlign w:val="center"/>
          </w:tcPr>
          <w:p w14:paraId="6077A1FE" w14:textId="77777777" w:rsidR="00BE2AF4" w:rsidRPr="0065690B" w:rsidRDefault="00BE2AF4" w:rsidP="0065690B">
            <w:pPr>
              <w:jc w:val="center"/>
              <w:rPr>
                <w:rFonts w:ascii="Arial" w:hAnsi="Arial" w:cs="Arial"/>
                <w:b/>
                <w:sz w:val="18"/>
                <w:szCs w:val="20"/>
              </w:rPr>
            </w:pPr>
            <w:r w:rsidRPr="0065690B">
              <w:rPr>
                <w:rFonts w:ascii="Arial" w:hAnsi="Arial" w:cs="Arial"/>
                <w:b/>
                <w:sz w:val="18"/>
                <w:szCs w:val="20"/>
              </w:rPr>
              <w:t>No.</w:t>
            </w:r>
          </w:p>
        </w:tc>
        <w:tc>
          <w:tcPr>
            <w:tcW w:w="2593" w:type="dxa"/>
            <w:shd w:val="clear" w:color="auto" w:fill="FDE9D9" w:themeFill="accent6" w:themeFillTint="33"/>
            <w:vAlign w:val="center"/>
          </w:tcPr>
          <w:p w14:paraId="688E6E01" w14:textId="24C5DCEB" w:rsidR="00BE2AF4" w:rsidRPr="0065690B" w:rsidRDefault="0090147A" w:rsidP="0065690B">
            <w:pPr>
              <w:jc w:val="center"/>
              <w:rPr>
                <w:rFonts w:ascii="Arial" w:hAnsi="Arial" w:cs="Arial"/>
                <w:b/>
                <w:sz w:val="18"/>
                <w:szCs w:val="20"/>
              </w:rPr>
            </w:pPr>
            <w:r w:rsidRPr="0065690B">
              <w:rPr>
                <w:rFonts w:ascii="Arial" w:hAnsi="Arial" w:cs="Arial"/>
                <w:b/>
                <w:sz w:val="18"/>
                <w:szCs w:val="20"/>
              </w:rPr>
              <w:t>Item</w:t>
            </w:r>
          </w:p>
        </w:tc>
        <w:tc>
          <w:tcPr>
            <w:tcW w:w="6497" w:type="dxa"/>
            <w:shd w:val="clear" w:color="auto" w:fill="FDE9D9" w:themeFill="accent6" w:themeFillTint="33"/>
            <w:vAlign w:val="center"/>
          </w:tcPr>
          <w:p w14:paraId="3B1F094F" w14:textId="3EFE1DE8" w:rsidR="00BE2AF4" w:rsidRPr="0065690B" w:rsidRDefault="00BE2AF4" w:rsidP="0065690B">
            <w:pPr>
              <w:jc w:val="center"/>
              <w:rPr>
                <w:rFonts w:ascii="Arial" w:hAnsi="Arial" w:cs="Arial"/>
                <w:b/>
                <w:sz w:val="18"/>
                <w:szCs w:val="20"/>
              </w:rPr>
            </w:pPr>
            <w:r w:rsidRPr="0065690B">
              <w:rPr>
                <w:rFonts w:ascii="Arial" w:hAnsi="Arial" w:cs="Arial"/>
                <w:b/>
                <w:sz w:val="18"/>
                <w:szCs w:val="20"/>
              </w:rPr>
              <w:t xml:space="preserve">Criteria </w:t>
            </w:r>
          </w:p>
        </w:tc>
      </w:tr>
      <w:tr w:rsidR="00CC1A06" w:rsidRPr="00EC151A" w14:paraId="1DCBAA08" w14:textId="77777777" w:rsidTr="00306EF1">
        <w:trPr>
          <w:trHeight w:val="258"/>
        </w:trPr>
        <w:tc>
          <w:tcPr>
            <w:tcW w:w="535" w:type="dxa"/>
            <w:vAlign w:val="center"/>
          </w:tcPr>
          <w:p w14:paraId="597697EF" w14:textId="1F17D10D" w:rsidR="00CC1A06" w:rsidRPr="008F263C" w:rsidRDefault="00CC1A06" w:rsidP="008F263C">
            <w:pPr>
              <w:ind w:left="-53"/>
              <w:rPr>
                <w:rFonts w:ascii="Arial" w:hAnsi="Arial" w:cs="Arial"/>
                <w:sz w:val="18"/>
                <w:szCs w:val="18"/>
              </w:rPr>
            </w:pPr>
            <w:r w:rsidRPr="008F263C">
              <w:rPr>
                <w:rFonts w:ascii="Arial" w:hAnsi="Arial" w:cs="Arial"/>
                <w:sz w:val="18"/>
                <w:szCs w:val="18"/>
              </w:rPr>
              <w:t>1</w:t>
            </w:r>
          </w:p>
        </w:tc>
        <w:tc>
          <w:tcPr>
            <w:tcW w:w="2593" w:type="dxa"/>
            <w:vAlign w:val="center"/>
          </w:tcPr>
          <w:p w14:paraId="35AF9446" w14:textId="1031298E" w:rsidR="00CC1A06" w:rsidRPr="008F263C" w:rsidRDefault="00CC1A06" w:rsidP="008F263C">
            <w:pPr>
              <w:ind w:left="-53"/>
              <w:rPr>
                <w:rFonts w:ascii="Arial" w:hAnsi="Arial" w:cs="Arial"/>
                <w:sz w:val="18"/>
                <w:szCs w:val="18"/>
              </w:rPr>
            </w:pPr>
            <w:r w:rsidRPr="008F263C">
              <w:rPr>
                <w:rFonts w:ascii="Arial" w:hAnsi="Arial" w:cs="Arial"/>
                <w:sz w:val="18"/>
                <w:szCs w:val="18"/>
              </w:rPr>
              <w:t>Valid Business license</w:t>
            </w:r>
          </w:p>
        </w:tc>
        <w:tc>
          <w:tcPr>
            <w:tcW w:w="6497" w:type="dxa"/>
            <w:vAlign w:val="center"/>
          </w:tcPr>
          <w:p w14:paraId="2BD82336" w14:textId="1812E881" w:rsidR="00CC1A06" w:rsidRPr="00760698" w:rsidRDefault="00B81107" w:rsidP="008F263C">
            <w:pPr>
              <w:ind w:left="-53"/>
              <w:rPr>
                <w:rFonts w:ascii="Arial" w:hAnsi="Arial" w:cs="Arial"/>
                <w:sz w:val="18"/>
                <w:szCs w:val="18"/>
              </w:rPr>
            </w:pPr>
            <w:r>
              <w:rPr>
                <w:rFonts w:ascii="Arial" w:hAnsi="Arial" w:cs="Arial"/>
                <w:sz w:val="18"/>
                <w:szCs w:val="18"/>
              </w:rPr>
              <w:t>The bidders shall have a valid business license</w:t>
            </w:r>
          </w:p>
        </w:tc>
      </w:tr>
      <w:tr w:rsidR="0090147A" w:rsidRPr="00EC151A" w14:paraId="75981971" w14:textId="77777777" w:rsidTr="00306EF1">
        <w:trPr>
          <w:trHeight w:val="348"/>
        </w:trPr>
        <w:tc>
          <w:tcPr>
            <w:tcW w:w="535" w:type="dxa"/>
            <w:vAlign w:val="center"/>
          </w:tcPr>
          <w:p w14:paraId="0C92BAB7" w14:textId="0E26EDDF" w:rsidR="00BE2AF4" w:rsidRPr="008F263C" w:rsidRDefault="00CC1A06" w:rsidP="008F263C">
            <w:pPr>
              <w:ind w:left="-53"/>
              <w:rPr>
                <w:rFonts w:ascii="Arial" w:hAnsi="Arial" w:cs="Arial"/>
                <w:sz w:val="18"/>
                <w:szCs w:val="18"/>
              </w:rPr>
            </w:pPr>
            <w:r w:rsidRPr="008F263C">
              <w:rPr>
                <w:rFonts w:ascii="Arial" w:hAnsi="Arial" w:cs="Arial"/>
                <w:sz w:val="18"/>
                <w:szCs w:val="18"/>
              </w:rPr>
              <w:t>2</w:t>
            </w:r>
          </w:p>
        </w:tc>
        <w:tc>
          <w:tcPr>
            <w:tcW w:w="2593" w:type="dxa"/>
            <w:vAlign w:val="center"/>
          </w:tcPr>
          <w:p w14:paraId="7411AB0F" w14:textId="032ADC85" w:rsidR="00BE2AF4" w:rsidRPr="008F263C" w:rsidRDefault="00CC1A06" w:rsidP="008F263C">
            <w:pPr>
              <w:pStyle w:val="ListParagraph"/>
              <w:ind w:left="-53"/>
              <w:rPr>
                <w:rFonts w:ascii="Arial" w:hAnsi="Arial" w:cs="Arial"/>
                <w:sz w:val="18"/>
                <w:szCs w:val="18"/>
              </w:rPr>
            </w:pPr>
            <w:r w:rsidRPr="008F263C">
              <w:rPr>
                <w:rFonts w:ascii="Arial" w:hAnsi="Arial" w:cs="Arial"/>
                <w:sz w:val="18"/>
                <w:szCs w:val="18"/>
              </w:rPr>
              <w:t xml:space="preserve">Execution of </w:t>
            </w:r>
            <w:r w:rsidR="00D53902" w:rsidRPr="008F263C">
              <w:rPr>
                <w:rFonts w:ascii="Arial" w:hAnsi="Arial" w:cs="Arial"/>
                <w:sz w:val="18"/>
                <w:szCs w:val="18"/>
              </w:rPr>
              <w:t>One</w:t>
            </w:r>
            <w:r w:rsidRPr="008F263C">
              <w:rPr>
                <w:rFonts w:ascii="Arial" w:hAnsi="Arial" w:cs="Arial"/>
                <w:sz w:val="18"/>
                <w:szCs w:val="18"/>
              </w:rPr>
              <w:t xml:space="preserve"> Similar contract</w:t>
            </w:r>
          </w:p>
        </w:tc>
        <w:tc>
          <w:tcPr>
            <w:tcW w:w="6497" w:type="dxa"/>
            <w:vAlign w:val="center"/>
          </w:tcPr>
          <w:p w14:paraId="3D4B565B" w14:textId="77777777" w:rsidR="00B81107" w:rsidRPr="008F263C" w:rsidRDefault="00B81107" w:rsidP="008F263C">
            <w:pPr>
              <w:pStyle w:val="ListParagraph"/>
              <w:ind w:left="-53"/>
              <w:rPr>
                <w:rFonts w:ascii="Arial" w:hAnsi="Arial" w:cs="Arial"/>
                <w:sz w:val="18"/>
                <w:szCs w:val="18"/>
              </w:rPr>
            </w:pPr>
            <w:r w:rsidRPr="008F263C">
              <w:rPr>
                <w:rFonts w:ascii="Arial" w:hAnsi="Arial" w:cs="Arial"/>
                <w:sz w:val="18"/>
                <w:szCs w:val="18"/>
              </w:rPr>
              <w:t>Bidders must provide evidence of having executed at least One Single Contract of similar nature (Medicine) within the any of the last 5 years (2019 - 2023) the amount of such contract shall not be less than AFN 65,000,000/- or equivalent in USD or any currency that can be easily converted to AFN.</w:t>
            </w:r>
          </w:p>
          <w:p w14:paraId="64DC6192" w14:textId="6F306519" w:rsidR="00BE2AF4" w:rsidRPr="008F263C" w:rsidRDefault="00B81107" w:rsidP="008F263C">
            <w:pPr>
              <w:pStyle w:val="ListParagraph"/>
              <w:ind w:left="-53"/>
              <w:rPr>
                <w:rFonts w:ascii="Arial" w:hAnsi="Arial" w:cs="Arial"/>
                <w:sz w:val="18"/>
                <w:szCs w:val="18"/>
              </w:rPr>
            </w:pPr>
            <w:r w:rsidRPr="008F263C">
              <w:rPr>
                <w:rFonts w:ascii="Arial" w:hAnsi="Arial" w:cs="Arial"/>
                <w:sz w:val="18"/>
                <w:szCs w:val="18"/>
              </w:rPr>
              <w:t>The similarity of the executed contract shall be based on the size, nature, complexity, technology or other characteristics.</w:t>
            </w:r>
          </w:p>
        </w:tc>
      </w:tr>
      <w:tr w:rsidR="009243D6" w:rsidRPr="00EC151A" w14:paraId="4D3FD77B" w14:textId="77777777" w:rsidTr="00306EF1">
        <w:trPr>
          <w:trHeight w:val="348"/>
        </w:trPr>
        <w:tc>
          <w:tcPr>
            <w:tcW w:w="535" w:type="dxa"/>
            <w:vAlign w:val="center"/>
          </w:tcPr>
          <w:p w14:paraId="6E299988" w14:textId="7DFA9DCE" w:rsidR="009243D6" w:rsidRPr="008F263C" w:rsidRDefault="00CC1A06" w:rsidP="008F263C">
            <w:pPr>
              <w:ind w:left="-53"/>
              <w:rPr>
                <w:rFonts w:ascii="Arial" w:hAnsi="Arial" w:cs="Arial"/>
                <w:sz w:val="18"/>
                <w:szCs w:val="18"/>
              </w:rPr>
            </w:pPr>
            <w:r w:rsidRPr="008F263C">
              <w:rPr>
                <w:rFonts w:ascii="Arial" w:hAnsi="Arial" w:cs="Arial"/>
                <w:sz w:val="18"/>
                <w:szCs w:val="18"/>
              </w:rPr>
              <w:t>3</w:t>
            </w:r>
          </w:p>
        </w:tc>
        <w:tc>
          <w:tcPr>
            <w:tcW w:w="2593" w:type="dxa"/>
            <w:vAlign w:val="center"/>
          </w:tcPr>
          <w:p w14:paraId="4CF3F7CF" w14:textId="7CA4BBD6" w:rsidR="009243D6" w:rsidRPr="008F263C" w:rsidRDefault="00B81107" w:rsidP="008F263C">
            <w:pPr>
              <w:pStyle w:val="ListParagraph"/>
              <w:ind w:left="-53"/>
              <w:rPr>
                <w:rFonts w:ascii="Arial" w:hAnsi="Arial" w:cs="Arial"/>
                <w:sz w:val="18"/>
                <w:szCs w:val="18"/>
              </w:rPr>
            </w:pPr>
            <w:r w:rsidRPr="008F263C">
              <w:rPr>
                <w:rFonts w:ascii="Arial" w:hAnsi="Arial" w:cs="Arial"/>
                <w:sz w:val="18"/>
                <w:szCs w:val="18"/>
              </w:rPr>
              <w:t>Financial capabilities</w:t>
            </w:r>
            <w:r w:rsidR="00CC1A06" w:rsidRPr="008F263C">
              <w:rPr>
                <w:rFonts w:ascii="Arial" w:hAnsi="Arial" w:cs="Arial"/>
                <w:sz w:val="18"/>
                <w:szCs w:val="18"/>
              </w:rPr>
              <w:t xml:space="preserve"> </w:t>
            </w:r>
          </w:p>
        </w:tc>
        <w:tc>
          <w:tcPr>
            <w:tcW w:w="6497" w:type="dxa"/>
            <w:vAlign w:val="center"/>
          </w:tcPr>
          <w:p w14:paraId="4E4BD269" w14:textId="77777777" w:rsidR="00B81107" w:rsidRPr="008F263C" w:rsidRDefault="00B81107" w:rsidP="008F263C">
            <w:pPr>
              <w:pStyle w:val="ListParagraph"/>
              <w:ind w:left="-53"/>
              <w:rPr>
                <w:rFonts w:ascii="Arial" w:hAnsi="Arial" w:cs="Arial"/>
                <w:sz w:val="18"/>
                <w:szCs w:val="18"/>
              </w:rPr>
            </w:pPr>
            <w:r w:rsidRPr="008F263C">
              <w:rPr>
                <w:rFonts w:ascii="Arial" w:hAnsi="Arial" w:cs="Arial"/>
                <w:sz w:val="18"/>
                <w:szCs w:val="18"/>
              </w:rPr>
              <w:t>Availability of financial evidence to make certain that the bidder can successfully execute the contract in terms of financial requirements.</w:t>
            </w:r>
          </w:p>
          <w:p w14:paraId="46768E59" w14:textId="4DD3E5FA" w:rsidR="009243D6" w:rsidRPr="008F263C" w:rsidRDefault="00B81107" w:rsidP="008F263C">
            <w:pPr>
              <w:pStyle w:val="ListParagraph"/>
              <w:ind w:left="-53"/>
              <w:rPr>
                <w:rFonts w:ascii="Arial" w:hAnsi="Arial" w:cs="Arial"/>
                <w:sz w:val="18"/>
                <w:szCs w:val="18"/>
              </w:rPr>
            </w:pPr>
            <w:r w:rsidRPr="008F263C">
              <w:rPr>
                <w:rFonts w:ascii="Arial" w:hAnsi="Arial" w:cs="Arial"/>
                <w:sz w:val="18"/>
                <w:szCs w:val="18"/>
              </w:rPr>
              <w:t>The amounts shall not be less than AFN 27,000,000/- or equivalent in USD or any currency that can easily be converted to AFN.</w:t>
            </w:r>
          </w:p>
        </w:tc>
      </w:tr>
      <w:tr w:rsidR="00B81107" w:rsidRPr="00EC151A" w14:paraId="672FC6FE" w14:textId="77777777" w:rsidTr="00306EF1">
        <w:trPr>
          <w:trHeight w:val="348"/>
        </w:trPr>
        <w:tc>
          <w:tcPr>
            <w:tcW w:w="535" w:type="dxa"/>
            <w:vAlign w:val="center"/>
          </w:tcPr>
          <w:p w14:paraId="4A5B672C" w14:textId="2EF1F4BD" w:rsidR="00B81107" w:rsidRPr="008F263C" w:rsidRDefault="00B81107" w:rsidP="008F263C">
            <w:pPr>
              <w:ind w:left="-53"/>
              <w:rPr>
                <w:rFonts w:ascii="Arial" w:hAnsi="Arial" w:cs="Arial"/>
                <w:sz w:val="18"/>
                <w:szCs w:val="18"/>
              </w:rPr>
            </w:pPr>
            <w:r w:rsidRPr="008F263C">
              <w:rPr>
                <w:rFonts w:ascii="Arial" w:hAnsi="Arial" w:cs="Arial"/>
                <w:sz w:val="18"/>
                <w:szCs w:val="18"/>
              </w:rPr>
              <w:t>4</w:t>
            </w:r>
          </w:p>
        </w:tc>
        <w:tc>
          <w:tcPr>
            <w:tcW w:w="2593" w:type="dxa"/>
            <w:vAlign w:val="center"/>
          </w:tcPr>
          <w:p w14:paraId="2F91DD33" w14:textId="77CB2E76" w:rsidR="00B81107" w:rsidRPr="008F263C" w:rsidRDefault="00B81107" w:rsidP="008F263C">
            <w:pPr>
              <w:pStyle w:val="ListParagraph"/>
              <w:ind w:left="-53"/>
              <w:rPr>
                <w:rFonts w:ascii="Arial" w:hAnsi="Arial" w:cs="Arial"/>
                <w:sz w:val="18"/>
                <w:szCs w:val="18"/>
              </w:rPr>
            </w:pPr>
            <w:r w:rsidRPr="008F263C">
              <w:rPr>
                <w:rFonts w:ascii="Arial" w:hAnsi="Arial" w:cs="Arial"/>
                <w:sz w:val="18"/>
                <w:szCs w:val="18"/>
              </w:rPr>
              <w:t>Technical Requirement</w:t>
            </w:r>
          </w:p>
        </w:tc>
        <w:tc>
          <w:tcPr>
            <w:tcW w:w="6497" w:type="dxa"/>
            <w:vAlign w:val="center"/>
          </w:tcPr>
          <w:p w14:paraId="09DFBBAE" w14:textId="72BF4B53" w:rsidR="00B81107" w:rsidRPr="008F263C" w:rsidRDefault="00B81107" w:rsidP="008F263C">
            <w:pPr>
              <w:pStyle w:val="ListParagraph"/>
              <w:ind w:left="-53"/>
              <w:rPr>
                <w:rFonts w:ascii="Arial" w:hAnsi="Arial" w:cs="Arial"/>
                <w:sz w:val="18"/>
                <w:szCs w:val="18"/>
              </w:rPr>
            </w:pPr>
            <w:r w:rsidRPr="008F263C">
              <w:rPr>
                <w:rFonts w:ascii="Arial" w:hAnsi="Arial" w:cs="Arial"/>
                <w:sz w:val="18"/>
                <w:szCs w:val="18"/>
              </w:rPr>
              <w:t>Provision of documents such as AFDA, GMP, CoA &amp; CoPP for each batch/item is mandatory, however, the CoPP certificate will not be required for the offered items that are being produced locally.</w:t>
            </w:r>
          </w:p>
        </w:tc>
      </w:tr>
    </w:tbl>
    <w:p w14:paraId="5FD085B3" w14:textId="77777777" w:rsidR="00BE2AF4" w:rsidRDefault="00BE2AF4" w:rsidP="00B14BD7">
      <w:pPr>
        <w:pStyle w:val="ListParagraph"/>
        <w:ind w:left="0"/>
        <w:jc w:val="both"/>
        <w:rPr>
          <w:rFonts w:ascii="Arial" w:hAnsi="Arial" w:cs="Arial"/>
          <w:sz w:val="22"/>
          <w:szCs w:val="22"/>
        </w:rPr>
      </w:pPr>
    </w:p>
    <w:p w14:paraId="270A145D" w14:textId="77777777" w:rsidR="00B81107" w:rsidRDefault="00B81107" w:rsidP="00B81107">
      <w:pPr>
        <w:pStyle w:val="ListParagraph"/>
        <w:ind w:left="0"/>
        <w:jc w:val="both"/>
        <w:rPr>
          <w:rFonts w:ascii="Arial" w:hAnsi="Arial" w:cs="Arial"/>
          <w:b/>
          <w:bCs/>
          <w:sz w:val="22"/>
          <w:szCs w:val="22"/>
        </w:rPr>
      </w:pPr>
    </w:p>
    <w:p w14:paraId="1AAFEB8B" w14:textId="1C1B0A82" w:rsidR="00B81107" w:rsidRPr="00D53902" w:rsidRDefault="00B81107" w:rsidP="00B81107">
      <w:pPr>
        <w:pStyle w:val="ListParagraph"/>
        <w:ind w:left="0"/>
        <w:jc w:val="both"/>
        <w:rPr>
          <w:rFonts w:ascii="Arial" w:hAnsi="Arial" w:cs="Arial"/>
          <w:b/>
          <w:bCs/>
          <w:sz w:val="22"/>
          <w:szCs w:val="22"/>
        </w:rPr>
      </w:pPr>
      <w:r w:rsidRPr="00D53902">
        <w:rPr>
          <w:rFonts w:ascii="Arial" w:hAnsi="Arial" w:cs="Arial"/>
          <w:b/>
          <w:bCs/>
          <w:sz w:val="22"/>
          <w:szCs w:val="22"/>
        </w:rPr>
        <w:t xml:space="preserve">Qualification Criteria: </w:t>
      </w:r>
      <w:r>
        <w:rPr>
          <w:rFonts w:ascii="Arial" w:hAnsi="Arial" w:cs="Arial"/>
          <w:b/>
          <w:bCs/>
          <w:sz w:val="22"/>
          <w:szCs w:val="22"/>
        </w:rPr>
        <w:t>LOT-2 (Lab-</w:t>
      </w:r>
      <w:r w:rsidR="00AC424B">
        <w:rPr>
          <w:rFonts w:ascii="Arial" w:hAnsi="Arial" w:cs="Arial"/>
          <w:b/>
          <w:bCs/>
          <w:sz w:val="22"/>
          <w:szCs w:val="22"/>
        </w:rPr>
        <w:t>R</w:t>
      </w:r>
      <w:r>
        <w:rPr>
          <w:rFonts w:ascii="Arial" w:hAnsi="Arial" w:cs="Arial"/>
          <w:b/>
          <w:bCs/>
          <w:sz w:val="22"/>
          <w:szCs w:val="22"/>
        </w:rPr>
        <w:t>eagent)</w:t>
      </w:r>
    </w:p>
    <w:tbl>
      <w:tblPr>
        <w:tblpPr w:leftFromText="180" w:rightFromText="180" w:vertAnchor="text" w:tblpX="13" w:tblpY="1"/>
        <w:tblOverlap w:val="neve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593"/>
        <w:gridCol w:w="6587"/>
      </w:tblGrid>
      <w:tr w:rsidR="00B81107" w:rsidRPr="00EC151A" w14:paraId="79DD40E0" w14:textId="77777777" w:rsidTr="00306EF1">
        <w:trPr>
          <w:trHeight w:val="261"/>
          <w:tblHeader/>
        </w:trPr>
        <w:tc>
          <w:tcPr>
            <w:tcW w:w="535" w:type="dxa"/>
            <w:shd w:val="clear" w:color="auto" w:fill="FDE9D9" w:themeFill="accent6" w:themeFillTint="33"/>
            <w:vAlign w:val="center"/>
          </w:tcPr>
          <w:p w14:paraId="69EC0278" w14:textId="77777777" w:rsidR="00B81107" w:rsidRPr="0065690B" w:rsidRDefault="00B81107" w:rsidP="00074CB2">
            <w:pPr>
              <w:jc w:val="center"/>
              <w:rPr>
                <w:rFonts w:ascii="Arial" w:hAnsi="Arial" w:cs="Arial"/>
                <w:b/>
                <w:sz w:val="18"/>
                <w:szCs w:val="20"/>
              </w:rPr>
            </w:pPr>
            <w:r w:rsidRPr="0065690B">
              <w:rPr>
                <w:rFonts w:ascii="Arial" w:hAnsi="Arial" w:cs="Arial"/>
                <w:b/>
                <w:sz w:val="18"/>
                <w:szCs w:val="20"/>
              </w:rPr>
              <w:t>No.</w:t>
            </w:r>
          </w:p>
        </w:tc>
        <w:tc>
          <w:tcPr>
            <w:tcW w:w="2593" w:type="dxa"/>
            <w:shd w:val="clear" w:color="auto" w:fill="FDE9D9" w:themeFill="accent6" w:themeFillTint="33"/>
            <w:vAlign w:val="center"/>
          </w:tcPr>
          <w:p w14:paraId="1E27A0AB" w14:textId="77777777" w:rsidR="00B81107" w:rsidRPr="0065690B" w:rsidRDefault="00B81107" w:rsidP="00074CB2">
            <w:pPr>
              <w:jc w:val="center"/>
              <w:rPr>
                <w:rFonts w:ascii="Arial" w:hAnsi="Arial" w:cs="Arial"/>
                <w:b/>
                <w:sz w:val="18"/>
                <w:szCs w:val="20"/>
              </w:rPr>
            </w:pPr>
            <w:r w:rsidRPr="0065690B">
              <w:rPr>
                <w:rFonts w:ascii="Arial" w:hAnsi="Arial" w:cs="Arial"/>
                <w:b/>
                <w:sz w:val="18"/>
                <w:szCs w:val="20"/>
              </w:rPr>
              <w:t>Item</w:t>
            </w:r>
          </w:p>
        </w:tc>
        <w:tc>
          <w:tcPr>
            <w:tcW w:w="6587" w:type="dxa"/>
            <w:shd w:val="clear" w:color="auto" w:fill="FDE9D9" w:themeFill="accent6" w:themeFillTint="33"/>
            <w:vAlign w:val="center"/>
          </w:tcPr>
          <w:p w14:paraId="714B8940" w14:textId="77777777" w:rsidR="00B81107" w:rsidRPr="0065690B" w:rsidRDefault="00B81107" w:rsidP="00074CB2">
            <w:pPr>
              <w:jc w:val="center"/>
              <w:rPr>
                <w:rFonts w:ascii="Arial" w:hAnsi="Arial" w:cs="Arial"/>
                <w:b/>
                <w:sz w:val="18"/>
                <w:szCs w:val="20"/>
              </w:rPr>
            </w:pPr>
            <w:r w:rsidRPr="0065690B">
              <w:rPr>
                <w:rFonts w:ascii="Arial" w:hAnsi="Arial" w:cs="Arial"/>
                <w:b/>
                <w:sz w:val="18"/>
                <w:szCs w:val="20"/>
              </w:rPr>
              <w:t xml:space="preserve">Criteria </w:t>
            </w:r>
          </w:p>
        </w:tc>
      </w:tr>
      <w:tr w:rsidR="00B81107" w:rsidRPr="00EC151A" w14:paraId="411C97B4" w14:textId="77777777" w:rsidTr="00306EF1">
        <w:trPr>
          <w:trHeight w:val="258"/>
        </w:trPr>
        <w:tc>
          <w:tcPr>
            <w:tcW w:w="535" w:type="dxa"/>
            <w:vAlign w:val="center"/>
          </w:tcPr>
          <w:p w14:paraId="380ECF7B" w14:textId="77777777" w:rsidR="00B81107" w:rsidRPr="008F263C" w:rsidRDefault="00B81107" w:rsidP="008F263C">
            <w:pPr>
              <w:pStyle w:val="ListParagraph"/>
              <w:ind w:left="-53"/>
              <w:rPr>
                <w:rFonts w:ascii="Arial" w:hAnsi="Arial" w:cs="Arial"/>
                <w:sz w:val="18"/>
                <w:szCs w:val="18"/>
              </w:rPr>
            </w:pPr>
            <w:r w:rsidRPr="008F263C">
              <w:rPr>
                <w:rFonts w:ascii="Arial" w:hAnsi="Arial" w:cs="Arial"/>
                <w:sz w:val="18"/>
                <w:szCs w:val="18"/>
              </w:rPr>
              <w:t>1</w:t>
            </w:r>
          </w:p>
        </w:tc>
        <w:tc>
          <w:tcPr>
            <w:tcW w:w="2593" w:type="dxa"/>
            <w:vAlign w:val="center"/>
          </w:tcPr>
          <w:p w14:paraId="2B3A7023" w14:textId="77777777" w:rsidR="00B81107" w:rsidRPr="008F263C" w:rsidRDefault="00B81107" w:rsidP="008F263C">
            <w:pPr>
              <w:pStyle w:val="ListParagraph"/>
              <w:ind w:left="-53"/>
              <w:rPr>
                <w:rFonts w:ascii="Arial" w:hAnsi="Arial" w:cs="Arial"/>
                <w:sz w:val="18"/>
                <w:szCs w:val="18"/>
              </w:rPr>
            </w:pPr>
            <w:r w:rsidRPr="008F263C">
              <w:rPr>
                <w:rFonts w:ascii="Arial" w:hAnsi="Arial" w:cs="Arial"/>
                <w:sz w:val="18"/>
                <w:szCs w:val="18"/>
              </w:rPr>
              <w:t>Valid Business license</w:t>
            </w:r>
          </w:p>
        </w:tc>
        <w:tc>
          <w:tcPr>
            <w:tcW w:w="6587" w:type="dxa"/>
            <w:vAlign w:val="center"/>
          </w:tcPr>
          <w:p w14:paraId="7BECA901" w14:textId="77777777" w:rsidR="00B81107" w:rsidRPr="00760698" w:rsidRDefault="00B81107" w:rsidP="008F263C">
            <w:pPr>
              <w:pStyle w:val="ListParagraph"/>
              <w:ind w:left="-53"/>
              <w:rPr>
                <w:rFonts w:ascii="Arial" w:hAnsi="Arial" w:cs="Arial"/>
                <w:sz w:val="18"/>
                <w:szCs w:val="18"/>
              </w:rPr>
            </w:pPr>
            <w:r>
              <w:rPr>
                <w:rFonts w:ascii="Arial" w:hAnsi="Arial" w:cs="Arial"/>
                <w:sz w:val="18"/>
                <w:szCs w:val="18"/>
              </w:rPr>
              <w:t>The bidders shall have a valid business license</w:t>
            </w:r>
          </w:p>
        </w:tc>
      </w:tr>
      <w:tr w:rsidR="00B81107" w:rsidRPr="00EC151A" w14:paraId="21E4A0AC" w14:textId="77777777" w:rsidTr="00306EF1">
        <w:trPr>
          <w:trHeight w:val="348"/>
        </w:trPr>
        <w:tc>
          <w:tcPr>
            <w:tcW w:w="535" w:type="dxa"/>
            <w:vAlign w:val="center"/>
          </w:tcPr>
          <w:p w14:paraId="00F4B67A" w14:textId="77777777" w:rsidR="00B81107" w:rsidRPr="008F263C" w:rsidRDefault="00B81107" w:rsidP="008F263C">
            <w:pPr>
              <w:ind w:left="-53"/>
              <w:rPr>
                <w:rFonts w:ascii="Arial" w:hAnsi="Arial" w:cs="Arial"/>
                <w:sz w:val="18"/>
                <w:szCs w:val="18"/>
              </w:rPr>
            </w:pPr>
            <w:r w:rsidRPr="008F263C">
              <w:rPr>
                <w:rFonts w:ascii="Arial" w:hAnsi="Arial" w:cs="Arial"/>
                <w:sz w:val="18"/>
                <w:szCs w:val="18"/>
              </w:rPr>
              <w:t>2</w:t>
            </w:r>
          </w:p>
        </w:tc>
        <w:tc>
          <w:tcPr>
            <w:tcW w:w="2593" w:type="dxa"/>
            <w:vAlign w:val="center"/>
          </w:tcPr>
          <w:p w14:paraId="470910E1" w14:textId="77777777" w:rsidR="00B81107" w:rsidRPr="008F263C" w:rsidRDefault="00B81107" w:rsidP="008F263C">
            <w:pPr>
              <w:pStyle w:val="ListParagraph"/>
              <w:ind w:left="-53"/>
              <w:rPr>
                <w:rFonts w:ascii="Arial" w:hAnsi="Arial" w:cs="Arial"/>
                <w:sz w:val="18"/>
                <w:szCs w:val="18"/>
              </w:rPr>
            </w:pPr>
            <w:r w:rsidRPr="008F263C">
              <w:rPr>
                <w:rFonts w:ascii="Arial" w:hAnsi="Arial" w:cs="Arial"/>
                <w:sz w:val="18"/>
                <w:szCs w:val="18"/>
              </w:rPr>
              <w:t>Execution of One Similar contract</w:t>
            </w:r>
          </w:p>
        </w:tc>
        <w:tc>
          <w:tcPr>
            <w:tcW w:w="6587" w:type="dxa"/>
            <w:vAlign w:val="center"/>
          </w:tcPr>
          <w:p w14:paraId="49E8BC87" w14:textId="77777777" w:rsidR="00B81107" w:rsidRPr="008F263C" w:rsidRDefault="00B81107" w:rsidP="008F263C">
            <w:pPr>
              <w:pStyle w:val="ListParagraph"/>
              <w:ind w:left="-53"/>
              <w:rPr>
                <w:rFonts w:ascii="Arial" w:hAnsi="Arial" w:cs="Arial"/>
                <w:sz w:val="18"/>
                <w:szCs w:val="18"/>
              </w:rPr>
            </w:pPr>
            <w:r w:rsidRPr="008F263C">
              <w:rPr>
                <w:rFonts w:ascii="Arial" w:hAnsi="Arial" w:cs="Arial"/>
                <w:sz w:val="18"/>
                <w:szCs w:val="18"/>
              </w:rPr>
              <w:t>Bidders must provide evidence of having executed at least One Single Contract of similar nature (Lab Reagent) within the any of the last 5 years (2019 - 2023) the amount of such contract shall not be less than AFN 40,000,000.00 or equivalent in USD or any currency that can easily be converted in AFN.</w:t>
            </w:r>
          </w:p>
          <w:p w14:paraId="4C7E3C85" w14:textId="546B6234" w:rsidR="00B81107" w:rsidRPr="008F263C" w:rsidRDefault="00B81107" w:rsidP="008F263C">
            <w:pPr>
              <w:pStyle w:val="ListParagraph"/>
              <w:ind w:left="-53"/>
              <w:rPr>
                <w:rFonts w:ascii="Arial" w:hAnsi="Arial" w:cs="Arial"/>
                <w:sz w:val="18"/>
                <w:szCs w:val="18"/>
              </w:rPr>
            </w:pPr>
            <w:r w:rsidRPr="008F263C">
              <w:rPr>
                <w:rFonts w:ascii="Arial" w:hAnsi="Arial" w:cs="Arial"/>
                <w:sz w:val="18"/>
                <w:szCs w:val="18"/>
              </w:rPr>
              <w:t>The similarity of the executed contract shall be based on the size, nature, complexity, technology or other characteristics.</w:t>
            </w:r>
          </w:p>
        </w:tc>
      </w:tr>
      <w:tr w:rsidR="00B81107" w:rsidRPr="00EC151A" w14:paraId="30AF0349" w14:textId="77777777" w:rsidTr="00306EF1">
        <w:trPr>
          <w:trHeight w:val="348"/>
        </w:trPr>
        <w:tc>
          <w:tcPr>
            <w:tcW w:w="535" w:type="dxa"/>
            <w:vAlign w:val="center"/>
          </w:tcPr>
          <w:p w14:paraId="5AF49E9B" w14:textId="77777777" w:rsidR="00B81107" w:rsidRPr="008F263C" w:rsidRDefault="00B81107" w:rsidP="008F263C">
            <w:pPr>
              <w:ind w:left="-53"/>
              <w:rPr>
                <w:rFonts w:ascii="Arial" w:hAnsi="Arial" w:cs="Arial"/>
                <w:sz w:val="18"/>
                <w:szCs w:val="18"/>
              </w:rPr>
            </w:pPr>
            <w:r w:rsidRPr="008F263C">
              <w:rPr>
                <w:rFonts w:ascii="Arial" w:hAnsi="Arial" w:cs="Arial"/>
                <w:sz w:val="18"/>
                <w:szCs w:val="18"/>
              </w:rPr>
              <w:t>3</w:t>
            </w:r>
          </w:p>
        </w:tc>
        <w:tc>
          <w:tcPr>
            <w:tcW w:w="2593" w:type="dxa"/>
            <w:vAlign w:val="center"/>
          </w:tcPr>
          <w:p w14:paraId="75757C05" w14:textId="77777777" w:rsidR="00B81107" w:rsidRPr="008F263C" w:rsidRDefault="00B81107" w:rsidP="008F263C">
            <w:pPr>
              <w:pStyle w:val="ListParagraph"/>
              <w:ind w:left="-53"/>
              <w:rPr>
                <w:rFonts w:ascii="Arial" w:hAnsi="Arial" w:cs="Arial"/>
                <w:sz w:val="18"/>
                <w:szCs w:val="18"/>
              </w:rPr>
            </w:pPr>
            <w:r w:rsidRPr="008F263C">
              <w:rPr>
                <w:rFonts w:ascii="Arial" w:hAnsi="Arial" w:cs="Arial"/>
                <w:sz w:val="18"/>
                <w:szCs w:val="18"/>
              </w:rPr>
              <w:t xml:space="preserve">Financial capabilities </w:t>
            </w:r>
          </w:p>
        </w:tc>
        <w:tc>
          <w:tcPr>
            <w:tcW w:w="6587" w:type="dxa"/>
            <w:vAlign w:val="center"/>
          </w:tcPr>
          <w:p w14:paraId="1F1168E5" w14:textId="77777777" w:rsidR="00B81107" w:rsidRPr="008F263C" w:rsidRDefault="00B81107" w:rsidP="008F263C">
            <w:pPr>
              <w:pStyle w:val="ListParagraph"/>
              <w:ind w:left="-53"/>
              <w:rPr>
                <w:rFonts w:ascii="Arial" w:hAnsi="Arial" w:cs="Arial"/>
                <w:sz w:val="18"/>
                <w:szCs w:val="18"/>
              </w:rPr>
            </w:pPr>
            <w:r w:rsidRPr="008F263C">
              <w:rPr>
                <w:rFonts w:ascii="Arial" w:hAnsi="Arial" w:cs="Arial"/>
                <w:sz w:val="18"/>
                <w:szCs w:val="18"/>
              </w:rPr>
              <w:t>Availability of financial evidence to make certain that the bidder can successfully execute the contract in terms of financial requirements.</w:t>
            </w:r>
          </w:p>
          <w:p w14:paraId="6F79DA0C" w14:textId="79F1E850" w:rsidR="00B81107" w:rsidRPr="008F263C" w:rsidRDefault="00B81107" w:rsidP="008F263C">
            <w:pPr>
              <w:pStyle w:val="ListParagraph"/>
              <w:ind w:left="-53"/>
              <w:rPr>
                <w:rFonts w:ascii="Arial" w:hAnsi="Arial" w:cs="Arial"/>
                <w:sz w:val="18"/>
                <w:szCs w:val="18"/>
              </w:rPr>
            </w:pPr>
            <w:r w:rsidRPr="008F263C">
              <w:rPr>
                <w:rFonts w:ascii="Arial" w:hAnsi="Arial" w:cs="Arial"/>
                <w:sz w:val="18"/>
                <w:szCs w:val="18"/>
              </w:rPr>
              <w:t>The amounts shall not be less than AFN 16,000,000.00 or equivalent in USD or any currency that can be easily converted in AFN.</w:t>
            </w:r>
          </w:p>
        </w:tc>
      </w:tr>
      <w:tr w:rsidR="00B81107" w:rsidRPr="00EC151A" w14:paraId="09CBB2EB" w14:textId="77777777" w:rsidTr="00306EF1">
        <w:trPr>
          <w:trHeight w:val="348"/>
        </w:trPr>
        <w:tc>
          <w:tcPr>
            <w:tcW w:w="535" w:type="dxa"/>
            <w:vAlign w:val="center"/>
          </w:tcPr>
          <w:p w14:paraId="451DC3FD" w14:textId="77777777" w:rsidR="00B81107" w:rsidRPr="008F263C" w:rsidRDefault="00B81107" w:rsidP="008F263C">
            <w:pPr>
              <w:ind w:left="-53"/>
              <w:rPr>
                <w:rFonts w:ascii="Arial" w:hAnsi="Arial" w:cs="Arial"/>
                <w:sz w:val="18"/>
                <w:szCs w:val="18"/>
              </w:rPr>
            </w:pPr>
            <w:r w:rsidRPr="008F263C">
              <w:rPr>
                <w:rFonts w:ascii="Arial" w:hAnsi="Arial" w:cs="Arial"/>
                <w:sz w:val="18"/>
                <w:szCs w:val="18"/>
              </w:rPr>
              <w:t>4</w:t>
            </w:r>
          </w:p>
        </w:tc>
        <w:tc>
          <w:tcPr>
            <w:tcW w:w="2593" w:type="dxa"/>
            <w:vAlign w:val="center"/>
          </w:tcPr>
          <w:p w14:paraId="21F48ACB" w14:textId="77777777" w:rsidR="00B81107" w:rsidRPr="008F263C" w:rsidRDefault="00B81107" w:rsidP="008F263C">
            <w:pPr>
              <w:pStyle w:val="ListParagraph"/>
              <w:ind w:left="-53"/>
              <w:rPr>
                <w:rFonts w:ascii="Arial" w:hAnsi="Arial" w:cs="Arial"/>
                <w:sz w:val="18"/>
                <w:szCs w:val="18"/>
              </w:rPr>
            </w:pPr>
            <w:r w:rsidRPr="008F263C">
              <w:rPr>
                <w:rFonts w:ascii="Arial" w:hAnsi="Arial" w:cs="Arial"/>
                <w:sz w:val="18"/>
                <w:szCs w:val="18"/>
              </w:rPr>
              <w:t>Technical Requirement</w:t>
            </w:r>
          </w:p>
        </w:tc>
        <w:tc>
          <w:tcPr>
            <w:tcW w:w="6587" w:type="dxa"/>
            <w:vAlign w:val="center"/>
          </w:tcPr>
          <w:p w14:paraId="3D7D44F8" w14:textId="282848EF" w:rsidR="00B81107" w:rsidRPr="008F263C" w:rsidRDefault="00B81107" w:rsidP="008F263C">
            <w:pPr>
              <w:pStyle w:val="ListParagraph"/>
              <w:ind w:left="-53"/>
              <w:rPr>
                <w:rFonts w:ascii="Arial" w:hAnsi="Arial" w:cs="Arial"/>
                <w:sz w:val="18"/>
                <w:szCs w:val="18"/>
              </w:rPr>
            </w:pPr>
            <w:r w:rsidRPr="008F263C">
              <w:rPr>
                <w:rFonts w:ascii="Arial" w:hAnsi="Arial" w:cs="Arial"/>
                <w:sz w:val="18"/>
                <w:szCs w:val="18"/>
              </w:rPr>
              <w:t>Provision of documents such as AFDA for each item as highlighted in the pricing list.</w:t>
            </w:r>
          </w:p>
        </w:tc>
      </w:tr>
    </w:tbl>
    <w:p w14:paraId="669B8629" w14:textId="77777777" w:rsidR="00B81107" w:rsidRDefault="00B81107" w:rsidP="00B81107">
      <w:pPr>
        <w:pStyle w:val="ListParagraph"/>
        <w:ind w:left="0"/>
        <w:jc w:val="both"/>
        <w:rPr>
          <w:rFonts w:ascii="Arial" w:hAnsi="Arial" w:cs="Arial"/>
          <w:sz w:val="22"/>
          <w:szCs w:val="22"/>
        </w:rPr>
      </w:pPr>
    </w:p>
    <w:p w14:paraId="01AFA015" w14:textId="2019B567" w:rsidR="008F263C" w:rsidRPr="00D53902" w:rsidRDefault="008F263C" w:rsidP="008F263C">
      <w:pPr>
        <w:pStyle w:val="ListParagraph"/>
        <w:ind w:left="0"/>
        <w:jc w:val="both"/>
        <w:rPr>
          <w:rFonts w:ascii="Arial" w:hAnsi="Arial" w:cs="Arial"/>
          <w:b/>
          <w:bCs/>
          <w:sz w:val="22"/>
          <w:szCs w:val="22"/>
        </w:rPr>
      </w:pPr>
      <w:r w:rsidRPr="00D53902">
        <w:rPr>
          <w:rFonts w:ascii="Arial" w:hAnsi="Arial" w:cs="Arial"/>
          <w:b/>
          <w:bCs/>
          <w:sz w:val="22"/>
          <w:szCs w:val="22"/>
        </w:rPr>
        <w:lastRenderedPageBreak/>
        <w:t xml:space="preserve">Qualification Criteria: </w:t>
      </w:r>
      <w:r>
        <w:rPr>
          <w:rFonts w:ascii="Arial" w:hAnsi="Arial" w:cs="Arial"/>
          <w:b/>
          <w:bCs/>
          <w:sz w:val="22"/>
          <w:szCs w:val="22"/>
        </w:rPr>
        <w:t>LOT-3 (Consumable)</w:t>
      </w:r>
    </w:p>
    <w:tbl>
      <w:tblPr>
        <w:tblpPr w:leftFromText="180" w:rightFromText="180" w:vertAnchor="text" w:tblpX="13" w:tblpY="1"/>
        <w:tblOverlap w:val="neve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593"/>
        <w:gridCol w:w="6587"/>
      </w:tblGrid>
      <w:tr w:rsidR="008F263C" w:rsidRPr="00EC151A" w14:paraId="5015F662" w14:textId="77777777" w:rsidTr="00306EF1">
        <w:trPr>
          <w:trHeight w:val="261"/>
          <w:tblHeader/>
        </w:trPr>
        <w:tc>
          <w:tcPr>
            <w:tcW w:w="535" w:type="dxa"/>
            <w:shd w:val="clear" w:color="auto" w:fill="FDE9D9" w:themeFill="accent6" w:themeFillTint="33"/>
            <w:vAlign w:val="center"/>
          </w:tcPr>
          <w:p w14:paraId="499CF7FB" w14:textId="77777777" w:rsidR="008F263C" w:rsidRPr="0065690B" w:rsidRDefault="008F263C" w:rsidP="00074CB2">
            <w:pPr>
              <w:jc w:val="center"/>
              <w:rPr>
                <w:rFonts w:ascii="Arial" w:hAnsi="Arial" w:cs="Arial"/>
                <w:b/>
                <w:sz w:val="18"/>
                <w:szCs w:val="20"/>
              </w:rPr>
            </w:pPr>
            <w:r w:rsidRPr="0065690B">
              <w:rPr>
                <w:rFonts w:ascii="Arial" w:hAnsi="Arial" w:cs="Arial"/>
                <w:b/>
                <w:sz w:val="18"/>
                <w:szCs w:val="20"/>
              </w:rPr>
              <w:t>No.</w:t>
            </w:r>
          </w:p>
        </w:tc>
        <w:tc>
          <w:tcPr>
            <w:tcW w:w="2593" w:type="dxa"/>
            <w:shd w:val="clear" w:color="auto" w:fill="FDE9D9" w:themeFill="accent6" w:themeFillTint="33"/>
            <w:vAlign w:val="center"/>
          </w:tcPr>
          <w:p w14:paraId="25E2346D" w14:textId="77777777" w:rsidR="008F263C" w:rsidRPr="0065690B" w:rsidRDefault="008F263C" w:rsidP="00074CB2">
            <w:pPr>
              <w:jc w:val="center"/>
              <w:rPr>
                <w:rFonts w:ascii="Arial" w:hAnsi="Arial" w:cs="Arial"/>
                <w:b/>
                <w:sz w:val="18"/>
                <w:szCs w:val="20"/>
              </w:rPr>
            </w:pPr>
            <w:r w:rsidRPr="0065690B">
              <w:rPr>
                <w:rFonts w:ascii="Arial" w:hAnsi="Arial" w:cs="Arial"/>
                <w:b/>
                <w:sz w:val="18"/>
                <w:szCs w:val="20"/>
              </w:rPr>
              <w:t>Item</w:t>
            </w:r>
          </w:p>
        </w:tc>
        <w:tc>
          <w:tcPr>
            <w:tcW w:w="6587" w:type="dxa"/>
            <w:shd w:val="clear" w:color="auto" w:fill="FDE9D9" w:themeFill="accent6" w:themeFillTint="33"/>
            <w:vAlign w:val="center"/>
          </w:tcPr>
          <w:p w14:paraId="7201F4B7" w14:textId="77777777" w:rsidR="008F263C" w:rsidRPr="0065690B" w:rsidRDefault="008F263C" w:rsidP="00074CB2">
            <w:pPr>
              <w:jc w:val="center"/>
              <w:rPr>
                <w:rFonts w:ascii="Arial" w:hAnsi="Arial" w:cs="Arial"/>
                <w:b/>
                <w:sz w:val="18"/>
                <w:szCs w:val="20"/>
              </w:rPr>
            </w:pPr>
            <w:r w:rsidRPr="0065690B">
              <w:rPr>
                <w:rFonts w:ascii="Arial" w:hAnsi="Arial" w:cs="Arial"/>
                <w:b/>
                <w:sz w:val="18"/>
                <w:szCs w:val="20"/>
              </w:rPr>
              <w:t xml:space="preserve">Criteria </w:t>
            </w:r>
          </w:p>
        </w:tc>
      </w:tr>
      <w:tr w:rsidR="008F263C" w:rsidRPr="00EC151A" w14:paraId="21ECCBCC" w14:textId="77777777" w:rsidTr="00306EF1">
        <w:trPr>
          <w:trHeight w:val="258"/>
        </w:trPr>
        <w:tc>
          <w:tcPr>
            <w:tcW w:w="535" w:type="dxa"/>
            <w:vAlign w:val="center"/>
          </w:tcPr>
          <w:p w14:paraId="7599E8A3" w14:textId="77777777" w:rsidR="008F263C" w:rsidRPr="00B14BD7" w:rsidRDefault="008F263C" w:rsidP="00074CB2">
            <w:pPr>
              <w:pStyle w:val="Header"/>
              <w:jc w:val="center"/>
              <w:rPr>
                <w:rFonts w:ascii="Arial" w:hAnsi="Arial" w:cs="Arial"/>
                <w:sz w:val="20"/>
                <w:szCs w:val="20"/>
              </w:rPr>
            </w:pPr>
            <w:r>
              <w:rPr>
                <w:rFonts w:ascii="Arial" w:hAnsi="Arial" w:cs="Arial"/>
                <w:sz w:val="20"/>
                <w:szCs w:val="20"/>
              </w:rPr>
              <w:t>1</w:t>
            </w:r>
          </w:p>
        </w:tc>
        <w:tc>
          <w:tcPr>
            <w:tcW w:w="2593" w:type="dxa"/>
            <w:vAlign w:val="center"/>
          </w:tcPr>
          <w:p w14:paraId="2C7EA9A8" w14:textId="77777777" w:rsidR="008F263C" w:rsidRPr="008F263C" w:rsidRDefault="008F263C" w:rsidP="008F263C">
            <w:pPr>
              <w:ind w:left="-53"/>
              <w:rPr>
                <w:rFonts w:ascii="Arial" w:hAnsi="Arial" w:cs="Arial"/>
                <w:sz w:val="18"/>
                <w:szCs w:val="18"/>
              </w:rPr>
            </w:pPr>
            <w:r w:rsidRPr="008F263C">
              <w:rPr>
                <w:rFonts w:ascii="Arial" w:hAnsi="Arial" w:cs="Arial"/>
                <w:sz w:val="18"/>
                <w:szCs w:val="18"/>
              </w:rPr>
              <w:t>Valid Business license</w:t>
            </w:r>
          </w:p>
        </w:tc>
        <w:tc>
          <w:tcPr>
            <w:tcW w:w="6587" w:type="dxa"/>
            <w:vAlign w:val="center"/>
          </w:tcPr>
          <w:p w14:paraId="123F5000" w14:textId="77777777" w:rsidR="008F263C" w:rsidRPr="00760698" w:rsidRDefault="008F263C" w:rsidP="008F263C">
            <w:pPr>
              <w:ind w:left="-53"/>
              <w:rPr>
                <w:rFonts w:ascii="Arial" w:hAnsi="Arial" w:cs="Arial"/>
                <w:sz w:val="18"/>
                <w:szCs w:val="18"/>
              </w:rPr>
            </w:pPr>
            <w:r>
              <w:rPr>
                <w:rFonts w:ascii="Arial" w:hAnsi="Arial" w:cs="Arial"/>
                <w:sz w:val="18"/>
                <w:szCs w:val="18"/>
              </w:rPr>
              <w:t>The bidders shall have a valid business license</w:t>
            </w:r>
          </w:p>
        </w:tc>
      </w:tr>
      <w:tr w:rsidR="008F263C" w:rsidRPr="00EC151A" w14:paraId="605D8790" w14:textId="77777777" w:rsidTr="00306EF1">
        <w:trPr>
          <w:trHeight w:val="348"/>
        </w:trPr>
        <w:tc>
          <w:tcPr>
            <w:tcW w:w="535" w:type="dxa"/>
            <w:vAlign w:val="center"/>
          </w:tcPr>
          <w:p w14:paraId="145302A4" w14:textId="77777777" w:rsidR="008F263C" w:rsidRPr="00B14BD7" w:rsidRDefault="008F263C" w:rsidP="00074CB2">
            <w:pPr>
              <w:jc w:val="center"/>
              <w:rPr>
                <w:rFonts w:ascii="Arial" w:hAnsi="Arial" w:cs="Arial"/>
                <w:sz w:val="20"/>
                <w:szCs w:val="20"/>
              </w:rPr>
            </w:pPr>
            <w:r>
              <w:rPr>
                <w:rFonts w:ascii="Arial" w:hAnsi="Arial" w:cs="Arial"/>
                <w:sz w:val="20"/>
                <w:szCs w:val="20"/>
              </w:rPr>
              <w:t>2</w:t>
            </w:r>
          </w:p>
        </w:tc>
        <w:tc>
          <w:tcPr>
            <w:tcW w:w="2593" w:type="dxa"/>
            <w:vAlign w:val="center"/>
          </w:tcPr>
          <w:p w14:paraId="4F990387" w14:textId="77777777" w:rsidR="008F263C" w:rsidRPr="008F263C" w:rsidRDefault="008F263C" w:rsidP="008F263C">
            <w:pPr>
              <w:ind w:left="-53"/>
              <w:rPr>
                <w:rFonts w:ascii="Arial" w:hAnsi="Arial" w:cs="Arial"/>
                <w:sz w:val="18"/>
                <w:szCs w:val="18"/>
              </w:rPr>
            </w:pPr>
            <w:r w:rsidRPr="008F263C">
              <w:rPr>
                <w:rFonts w:ascii="Arial" w:hAnsi="Arial" w:cs="Arial"/>
                <w:sz w:val="18"/>
                <w:szCs w:val="18"/>
              </w:rPr>
              <w:t>Execution of One Similar contract</w:t>
            </w:r>
          </w:p>
        </w:tc>
        <w:tc>
          <w:tcPr>
            <w:tcW w:w="6587" w:type="dxa"/>
            <w:vAlign w:val="center"/>
          </w:tcPr>
          <w:p w14:paraId="4E8D0E46" w14:textId="77777777" w:rsidR="008F263C" w:rsidRPr="008F263C" w:rsidRDefault="008F263C" w:rsidP="008F263C">
            <w:pPr>
              <w:ind w:left="-53"/>
              <w:rPr>
                <w:rFonts w:ascii="Arial" w:hAnsi="Arial" w:cs="Arial"/>
                <w:sz w:val="18"/>
                <w:szCs w:val="18"/>
              </w:rPr>
            </w:pPr>
            <w:r w:rsidRPr="008F263C">
              <w:rPr>
                <w:rFonts w:ascii="Arial" w:hAnsi="Arial" w:cs="Arial"/>
                <w:sz w:val="18"/>
                <w:szCs w:val="18"/>
              </w:rPr>
              <w:t>Bidders must provide evidence of having executed at least One Single Contract of similar nature (Consumable) within the any of the last 5 years (2019 - 2023) the amount of such contract shall not be less than AFN 35,000,000.00 or equivalent in USD, or any currency that can easily be converted in AFN.</w:t>
            </w:r>
          </w:p>
          <w:p w14:paraId="11435D43" w14:textId="6210312C" w:rsidR="008F263C" w:rsidRPr="008F263C" w:rsidRDefault="008F263C" w:rsidP="008F263C">
            <w:pPr>
              <w:ind w:left="-53"/>
              <w:rPr>
                <w:rFonts w:ascii="Arial" w:hAnsi="Arial" w:cs="Arial"/>
                <w:sz w:val="18"/>
                <w:szCs w:val="18"/>
              </w:rPr>
            </w:pPr>
            <w:r w:rsidRPr="008F263C">
              <w:rPr>
                <w:rFonts w:ascii="Arial" w:hAnsi="Arial" w:cs="Arial"/>
                <w:sz w:val="18"/>
                <w:szCs w:val="18"/>
              </w:rPr>
              <w:t>The similarity of the executed contract shall be based on the size, nature, complexity, technology or other characteristics.</w:t>
            </w:r>
          </w:p>
        </w:tc>
      </w:tr>
      <w:tr w:rsidR="008F263C" w:rsidRPr="00EC151A" w14:paraId="38464773" w14:textId="77777777" w:rsidTr="00306EF1">
        <w:trPr>
          <w:trHeight w:val="348"/>
        </w:trPr>
        <w:tc>
          <w:tcPr>
            <w:tcW w:w="535" w:type="dxa"/>
            <w:vAlign w:val="center"/>
          </w:tcPr>
          <w:p w14:paraId="7F26904D" w14:textId="77777777" w:rsidR="008F263C" w:rsidRPr="00B14BD7" w:rsidRDefault="008F263C" w:rsidP="00074CB2">
            <w:pPr>
              <w:jc w:val="center"/>
              <w:rPr>
                <w:rFonts w:ascii="Arial" w:hAnsi="Arial" w:cs="Arial"/>
                <w:sz w:val="20"/>
                <w:szCs w:val="20"/>
              </w:rPr>
            </w:pPr>
            <w:r>
              <w:rPr>
                <w:rFonts w:ascii="Arial" w:hAnsi="Arial" w:cs="Arial"/>
                <w:sz w:val="20"/>
                <w:szCs w:val="20"/>
              </w:rPr>
              <w:t>3</w:t>
            </w:r>
          </w:p>
        </w:tc>
        <w:tc>
          <w:tcPr>
            <w:tcW w:w="2593" w:type="dxa"/>
            <w:vAlign w:val="center"/>
          </w:tcPr>
          <w:p w14:paraId="057AD6E2" w14:textId="77777777" w:rsidR="008F263C" w:rsidRPr="008F263C" w:rsidRDefault="008F263C" w:rsidP="008F263C">
            <w:pPr>
              <w:ind w:left="-53"/>
              <w:rPr>
                <w:rFonts w:ascii="Arial" w:hAnsi="Arial" w:cs="Arial"/>
                <w:sz w:val="18"/>
                <w:szCs w:val="18"/>
              </w:rPr>
            </w:pPr>
            <w:r w:rsidRPr="008F263C">
              <w:rPr>
                <w:rFonts w:ascii="Arial" w:hAnsi="Arial" w:cs="Arial"/>
                <w:sz w:val="18"/>
                <w:szCs w:val="18"/>
              </w:rPr>
              <w:t xml:space="preserve">Financial capabilities </w:t>
            </w:r>
          </w:p>
        </w:tc>
        <w:tc>
          <w:tcPr>
            <w:tcW w:w="6587" w:type="dxa"/>
            <w:vAlign w:val="center"/>
          </w:tcPr>
          <w:p w14:paraId="2FF7528D" w14:textId="77777777" w:rsidR="008F263C" w:rsidRPr="008F263C" w:rsidRDefault="008F263C" w:rsidP="008F263C">
            <w:pPr>
              <w:ind w:left="-53"/>
              <w:rPr>
                <w:rFonts w:ascii="Arial" w:hAnsi="Arial" w:cs="Arial"/>
                <w:sz w:val="18"/>
                <w:szCs w:val="18"/>
              </w:rPr>
            </w:pPr>
            <w:r w:rsidRPr="008F263C">
              <w:rPr>
                <w:rFonts w:ascii="Arial" w:hAnsi="Arial" w:cs="Arial"/>
                <w:sz w:val="18"/>
                <w:szCs w:val="18"/>
              </w:rPr>
              <w:t>Availability of financial evidence to make certain that the bidder can successfully execute the contract in terms of financial requirements.</w:t>
            </w:r>
          </w:p>
          <w:p w14:paraId="0AD8BFE4" w14:textId="3E26AA17" w:rsidR="008F263C" w:rsidRPr="008F263C" w:rsidRDefault="008F263C" w:rsidP="008F263C">
            <w:pPr>
              <w:ind w:left="-53"/>
              <w:rPr>
                <w:rFonts w:ascii="Arial" w:hAnsi="Arial" w:cs="Arial"/>
                <w:sz w:val="18"/>
                <w:szCs w:val="18"/>
              </w:rPr>
            </w:pPr>
            <w:r w:rsidRPr="008F263C">
              <w:rPr>
                <w:rFonts w:ascii="Arial" w:hAnsi="Arial" w:cs="Arial"/>
                <w:sz w:val="18"/>
                <w:szCs w:val="18"/>
              </w:rPr>
              <w:t>The amounts shall not be less than AFN 15,000,000.00or equivalent in USD or any currency that can easily be converted in AFN.</w:t>
            </w:r>
          </w:p>
        </w:tc>
      </w:tr>
      <w:tr w:rsidR="008F263C" w:rsidRPr="00EC151A" w14:paraId="163DDD95" w14:textId="77777777" w:rsidTr="00306EF1">
        <w:trPr>
          <w:trHeight w:val="348"/>
        </w:trPr>
        <w:tc>
          <w:tcPr>
            <w:tcW w:w="535" w:type="dxa"/>
            <w:vAlign w:val="center"/>
          </w:tcPr>
          <w:p w14:paraId="7B2FD466" w14:textId="77777777" w:rsidR="008F263C" w:rsidRDefault="008F263C" w:rsidP="00074CB2">
            <w:pPr>
              <w:jc w:val="center"/>
              <w:rPr>
                <w:rFonts w:ascii="Arial" w:hAnsi="Arial" w:cs="Arial"/>
                <w:sz w:val="20"/>
                <w:szCs w:val="20"/>
              </w:rPr>
            </w:pPr>
            <w:r>
              <w:rPr>
                <w:rFonts w:ascii="Arial" w:hAnsi="Arial" w:cs="Arial"/>
                <w:sz w:val="20"/>
                <w:szCs w:val="20"/>
              </w:rPr>
              <w:t>4</w:t>
            </w:r>
          </w:p>
        </w:tc>
        <w:tc>
          <w:tcPr>
            <w:tcW w:w="2593" w:type="dxa"/>
            <w:vAlign w:val="center"/>
          </w:tcPr>
          <w:p w14:paraId="74F45426" w14:textId="77777777" w:rsidR="008F263C" w:rsidRPr="008F263C" w:rsidRDefault="008F263C" w:rsidP="008F263C">
            <w:pPr>
              <w:ind w:left="-53"/>
              <w:rPr>
                <w:rFonts w:ascii="Arial" w:hAnsi="Arial" w:cs="Arial"/>
                <w:sz w:val="18"/>
                <w:szCs w:val="18"/>
              </w:rPr>
            </w:pPr>
            <w:r w:rsidRPr="008F263C">
              <w:rPr>
                <w:rFonts w:ascii="Arial" w:hAnsi="Arial" w:cs="Arial"/>
                <w:sz w:val="18"/>
                <w:szCs w:val="18"/>
              </w:rPr>
              <w:t>Technical Requirement</w:t>
            </w:r>
          </w:p>
        </w:tc>
        <w:tc>
          <w:tcPr>
            <w:tcW w:w="6587" w:type="dxa"/>
            <w:vAlign w:val="center"/>
          </w:tcPr>
          <w:p w14:paraId="5C4D22D3" w14:textId="4479A582" w:rsidR="008F263C" w:rsidRPr="008F263C" w:rsidRDefault="008F263C" w:rsidP="008F263C">
            <w:pPr>
              <w:ind w:left="-53"/>
              <w:rPr>
                <w:rFonts w:ascii="Arial" w:hAnsi="Arial" w:cs="Arial"/>
                <w:sz w:val="18"/>
                <w:szCs w:val="18"/>
              </w:rPr>
            </w:pPr>
            <w:r w:rsidRPr="008F263C">
              <w:rPr>
                <w:rFonts w:ascii="Arial" w:hAnsi="Arial" w:cs="Arial"/>
                <w:sz w:val="18"/>
                <w:szCs w:val="18"/>
              </w:rPr>
              <w:t>Provision of documents such as AFDA for each item as highlighted in the pricing list.</w:t>
            </w:r>
          </w:p>
        </w:tc>
      </w:tr>
    </w:tbl>
    <w:p w14:paraId="4ABA1E68" w14:textId="77777777" w:rsidR="00B81107" w:rsidRDefault="00B81107" w:rsidP="00B81107">
      <w:pPr>
        <w:rPr>
          <w:rFonts w:ascii="Arial" w:hAnsi="Arial" w:cs="Arial"/>
          <w:sz w:val="22"/>
          <w:szCs w:val="22"/>
        </w:rPr>
      </w:pPr>
    </w:p>
    <w:p w14:paraId="077AE166" w14:textId="207A58CE" w:rsidR="009243D6" w:rsidRDefault="008F263C" w:rsidP="002E709A">
      <w:pPr>
        <w:jc w:val="both"/>
        <w:rPr>
          <w:rFonts w:ascii="Arial" w:hAnsi="Arial" w:cs="Arial"/>
          <w:sz w:val="22"/>
          <w:szCs w:val="22"/>
        </w:rPr>
      </w:pPr>
      <w:r>
        <w:rPr>
          <w:rFonts w:ascii="Arial" w:hAnsi="Arial" w:cs="Arial"/>
          <w:sz w:val="22"/>
          <w:szCs w:val="22"/>
        </w:rPr>
        <w:t xml:space="preserve">Note: </w:t>
      </w:r>
      <w:r w:rsidR="00860803" w:rsidRPr="00860803">
        <w:rPr>
          <w:rFonts w:ascii="Arial" w:hAnsi="Arial" w:cs="Arial"/>
          <w:sz w:val="22"/>
          <w:szCs w:val="22"/>
        </w:rPr>
        <w:t xml:space="preserve">Should any of the information data submitted by the bidder in the documents be unclear and not substantiated by supporting documents, such information shall not be considered for evaluation. </w:t>
      </w:r>
    </w:p>
    <w:p w14:paraId="125CA74E" w14:textId="77777777" w:rsidR="009243D6" w:rsidRDefault="009243D6" w:rsidP="00C81E04">
      <w:pPr>
        <w:rPr>
          <w:rFonts w:ascii="Arial" w:hAnsi="Arial" w:cs="Arial"/>
          <w:sz w:val="22"/>
          <w:szCs w:val="22"/>
        </w:rPr>
      </w:pPr>
    </w:p>
    <w:p w14:paraId="57CAE395" w14:textId="1025B9FC" w:rsidR="008917DF" w:rsidRPr="006F79B7" w:rsidRDefault="008917DF" w:rsidP="00C81E04">
      <w:pPr>
        <w:rPr>
          <w:rFonts w:ascii="Arial" w:hAnsi="Arial" w:cs="Arial"/>
          <w:sz w:val="22"/>
          <w:szCs w:val="22"/>
        </w:rPr>
      </w:pPr>
      <w:r w:rsidRPr="006F79B7">
        <w:rPr>
          <w:rFonts w:ascii="Arial" w:hAnsi="Arial" w:cs="Arial"/>
          <w:sz w:val="22"/>
          <w:szCs w:val="22"/>
        </w:rPr>
        <w:t>To obtain further information and inspect the bidding documents, bidders should contact:</w:t>
      </w: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848"/>
      </w:tblGrid>
      <w:tr w:rsidR="00FF7B2E" w14:paraId="2D2E7127" w14:textId="77777777" w:rsidTr="00190D28">
        <w:trPr>
          <w:trHeight w:val="369"/>
        </w:trPr>
        <w:tc>
          <w:tcPr>
            <w:tcW w:w="1260" w:type="dxa"/>
          </w:tcPr>
          <w:p w14:paraId="1D89BE25" w14:textId="77777777" w:rsidR="00FF7B2E" w:rsidRDefault="00FF7B2E" w:rsidP="00FF7B2E">
            <w:pPr>
              <w:rPr>
                <w:rFonts w:ascii="Arial" w:hAnsi="Arial" w:cs="Arial"/>
                <w:sz w:val="22"/>
                <w:szCs w:val="22"/>
              </w:rPr>
            </w:pPr>
            <w:r w:rsidRPr="006F79B7">
              <w:rPr>
                <w:rFonts w:ascii="Arial" w:hAnsi="Arial" w:cs="Arial"/>
                <w:sz w:val="22"/>
                <w:szCs w:val="22"/>
              </w:rPr>
              <w:t>Attention:</w:t>
            </w:r>
          </w:p>
        </w:tc>
        <w:tc>
          <w:tcPr>
            <w:tcW w:w="7848" w:type="dxa"/>
          </w:tcPr>
          <w:p w14:paraId="5F507892" w14:textId="4D694EC2" w:rsidR="00FF7B2E" w:rsidRDefault="0065690B" w:rsidP="00190D28">
            <w:pPr>
              <w:tabs>
                <w:tab w:val="left" w:pos="3130"/>
              </w:tabs>
              <w:rPr>
                <w:rFonts w:ascii="Arial" w:hAnsi="Arial" w:cs="Arial"/>
                <w:sz w:val="22"/>
                <w:szCs w:val="22"/>
              </w:rPr>
            </w:pPr>
            <w:r>
              <w:rPr>
                <w:rFonts w:ascii="Arial" w:hAnsi="Arial" w:cs="Arial"/>
                <w:sz w:val="22"/>
                <w:szCs w:val="22"/>
              </w:rPr>
              <w:t>M</w:t>
            </w:r>
            <w:r w:rsidR="008F263C">
              <w:rPr>
                <w:rFonts w:ascii="Arial" w:hAnsi="Arial" w:cs="Arial"/>
                <w:sz w:val="22"/>
                <w:szCs w:val="22"/>
              </w:rPr>
              <w:t>r. Abdul Moeen Zarif</w:t>
            </w:r>
            <w:r w:rsidR="00190D28">
              <w:rPr>
                <w:rFonts w:ascii="Arial" w:hAnsi="Arial" w:cs="Arial"/>
                <w:sz w:val="22"/>
                <w:szCs w:val="22"/>
              </w:rPr>
              <w:tab/>
              <w:t xml:space="preserve">Position: </w:t>
            </w:r>
            <w:r w:rsidR="008F263C">
              <w:rPr>
                <w:rFonts w:ascii="Arial" w:hAnsi="Arial" w:cs="Arial"/>
                <w:sz w:val="22"/>
                <w:szCs w:val="22"/>
              </w:rPr>
              <w:t>Procurement Manager</w:t>
            </w:r>
          </w:p>
        </w:tc>
      </w:tr>
      <w:tr w:rsidR="00FF7B2E" w14:paraId="50570E7D" w14:textId="77777777" w:rsidTr="00190D28">
        <w:trPr>
          <w:trHeight w:val="333"/>
        </w:trPr>
        <w:tc>
          <w:tcPr>
            <w:tcW w:w="1260" w:type="dxa"/>
            <w:vAlign w:val="center"/>
          </w:tcPr>
          <w:p w14:paraId="00F26078" w14:textId="1AB617C8" w:rsidR="00FF7B2E" w:rsidRDefault="0065690B" w:rsidP="00FF7B2E">
            <w:pPr>
              <w:rPr>
                <w:rFonts w:ascii="Arial" w:hAnsi="Arial" w:cs="Arial"/>
                <w:sz w:val="22"/>
                <w:szCs w:val="22"/>
              </w:rPr>
            </w:pPr>
            <w:r w:rsidRPr="006F79B7">
              <w:rPr>
                <w:rFonts w:ascii="Arial" w:hAnsi="Arial" w:cs="Arial"/>
                <w:sz w:val="22"/>
                <w:szCs w:val="22"/>
              </w:rPr>
              <w:t>Address</w:t>
            </w:r>
            <w:r>
              <w:rPr>
                <w:rFonts w:ascii="Arial" w:hAnsi="Arial" w:cs="Arial"/>
                <w:sz w:val="22"/>
                <w:szCs w:val="22"/>
              </w:rPr>
              <w:t>:</w:t>
            </w:r>
          </w:p>
        </w:tc>
        <w:tc>
          <w:tcPr>
            <w:tcW w:w="7848" w:type="dxa"/>
            <w:vAlign w:val="center"/>
          </w:tcPr>
          <w:p w14:paraId="6D6B8194" w14:textId="0296A267" w:rsidR="00FF7B2E" w:rsidRDefault="008F263C" w:rsidP="008F263C">
            <w:pPr>
              <w:pStyle w:val="ListParagraph"/>
              <w:ind w:left="0"/>
              <w:jc w:val="both"/>
              <w:rPr>
                <w:rFonts w:ascii="Arial" w:hAnsi="Arial" w:cs="Arial"/>
                <w:sz w:val="22"/>
                <w:szCs w:val="22"/>
              </w:rPr>
            </w:pPr>
            <w:r w:rsidRPr="008F263C">
              <w:rPr>
                <w:rFonts w:ascii="Arial" w:hAnsi="Arial" w:cs="Arial"/>
                <w:sz w:val="22"/>
                <w:szCs w:val="22"/>
              </w:rPr>
              <w:t>House 42, Behind Kabul Municipality Apartments, Klola Pushta, District 4, Kabul, Afghanistan</w:t>
            </w:r>
          </w:p>
        </w:tc>
      </w:tr>
      <w:tr w:rsidR="00FF7B2E" w14:paraId="04389F24" w14:textId="77777777" w:rsidTr="00190D28">
        <w:trPr>
          <w:trHeight w:val="333"/>
        </w:trPr>
        <w:tc>
          <w:tcPr>
            <w:tcW w:w="1260" w:type="dxa"/>
            <w:vAlign w:val="center"/>
          </w:tcPr>
          <w:p w14:paraId="36D3C33A" w14:textId="216DC364" w:rsidR="00FF7B2E" w:rsidRDefault="0065690B" w:rsidP="00FF7B2E">
            <w:pPr>
              <w:rPr>
                <w:rFonts w:ascii="Arial" w:hAnsi="Arial" w:cs="Arial"/>
                <w:sz w:val="22"/>
                <w:szCs w:val="22"/>
              </w:rPr>
            </w:pPr>
            <w:r>
              <w:rPr>
                <w:rFonts w:ascii="Arial" w:hAnsi="Arial" w:cs="Arial"/>
                <w:sz w:val="22"/>
                <w:szCs w:val="22"/>
              </w:rPr>
              <w:t xml:space="preserve">Email: </w:t>
            </w:r>
          </w:p>
        </w:tc>
        <w:tc>
          <w:tcPr>
            <w:tcW w:w="7848" w:type="dxa"/>
            <w:vAlign w:val="center"/>
          </w:tcPr>
          <w:p w14:paraId="74F55E89" w14:textId="69192F2D" w:rsidR="00FF7B2E" w:rsidRPr="008F263C" w:rsidRDefault="00000000" w:rsidP="00FF7B2E">
            <w:pPr>
              <w:rPr>
                <w:rFonts w:ascii="Arial" w:hAnsi="Arial" w:cs="Arial"/>
                <w:sz w:val="22"/>
                <w:szCs w:val="22"/>
              </w:rPr>
            </w:pPr>
            <w:hyperlink r:id="rId9" w:history="1">
              <w:r w:rsidR="00306EF1" w:rsidRPr="00CD1871">
                <w:rPr>
                  <w:rStyle w:val="Hyperlink"/>
                </w:rPr>
                <w:t>m</w:t>
              </w:r>
              <w:r w:rsidR="00306EF1" w:rsidRPr="00CD1871">
                <w:rPr>
                  <w:rStyle w:val="Hyperlink"/>
                  <w:rFonts w:ascii="Arial" w:hAnsi="Arial" w:cs="Arial"/>
                  <w:sz w:val="22"/>
                  <w:szCs w:val="22"/>
                </w:rPr>
                <w:t>oeen.zarif@akdn.org</w:t>
              </w:r>
            </w:hyperlink>
            <w:r w:rsidR="008F263C" w:rsidRPr="008F263C">
              <w:rPr>
                <w:rFonts w:ascii="Arial" w:hAnsi="Arial" w:cs="Arial"/>
                <w:sz w:val="22"/>
                <w:szCs w:val="22"/>
              </w:rPr>
              <w:t xml:space="preserve"> </w:t>
            </w:r>
          </w:p>
        </w:tc>
      </w:tr>
    </w:tbl>
    <w:p w14:paraId="0208B60C" w14:textId="77777777" w:rsidR="008321F9" w:rsidRPr="006F79B7" w:rsidRDefault="008321F9" w:rsidP="008321F9">
      <w:pPr>
        <w:pStyle w:val="ListParagraph"/>
        <w:ind w:left="0"/>
        <w:jc w:val="both"/>
        <w:rPr>
          <w:rFonts w:ascii="Arial" w:hAnsi="Arial" w:cs="Arial"/>
          <w:sz w:val="22"/>
          <w:szCs w:val="22"/>
        </w:rPr>
      </w:pPr>
    </w:p>
    <w:p w14:paraId="233C8B2E" w14:textId="39A4CB6D" w:rsidR="008321F9" w:rsidRPr="006F79B7" w:rsidRDefault="008917DF" w:rsidP="0065690B">
      <w:pPr>
        <w:pStyle w:val="ListParagraph"/>
        <w:ind w:left="0"/>
        <w:jc w:val="both"/>
        <w:rPr>
          <w:rFonts w:ascii="Arial" w:hAnsi="Arial" w:cs="Arial"/>
          <w:sz w:val="22"/>
          <w:szCs w:val="22"/>
        </w:rPr>
      </w:pPr>
      <w:r w:rsidRPr="006F79B7">
        <w:rPr>
          <w:rFonts w:ascii="Arial" w:hAnsi="Arial" w:cs="Arial"/>
          <w:sz w:val="22"/>
          <w:szCs w:val="22"/>
        </w:rPr>
        <w:t xml:space="preserve">A complete set of </w:t>
      </w:r>
      <w:r w:rsidR="00FF7B2E" w:rsidRPr="006F79B7">
        <w:rPr>
          <w:rFonts w:ascii="Arial" w:hAnsi="Arial" w:cs="Arial"/>
          <w:sz w:val="22"/>
          <w:szCs w:val="22"/>
        </w:rPr>
        <w:t>bidding</w:t>
      </w:r>
      <w:r w:rsidR="00FF7B2E">
        <w:rPr>
          <w:rFonts w:ascii="Arial" w:hAnsi="Arial" w:cs="Arial"/>
          <w:sz w:val="22"/>
          <w:szCs w:val="22"/>
        </w:rPr>
        <w:t xml:space="preserve"> documents</w:t>
      </w:r>
      <w:r w:rsidRPr="006F79B7">
        <w:rPr>
          <w:rFonts w:ascii="Arial" w:hAnsi="Arial" w:cs="Arial"/>
          <w:sz w:val="22"/>
          <w:szCs w:val="22"/>
        </w:rPr>
        <w:t xml:space="preserve"> in English </w:t>
      </w:r>
      <w:r w:rsidR="009243D6">
        <w:rPr>
          <w:rFonts w:ascii="Arial" w:hAnsi="Arial" w:cs="Arial"/>
          <w:sz w:val="22"/>
          <w:szCs w:val="22"/>
        </w:rPr>
        <w:t>can</w:t>
      </w:r>
      <w:r w:rsidRPr="006F79B7">
        <w:rPr>
          <w:rFonts w:ascii="Arial" w:hAnsi="Arial" w:cs="Arial"/>
          <w:sz w:val="22"/>
          <w:szCs w:val="22"/>
        </w:rPr>
        <w:t xml:space="preserve"> be obtained by interested eligible bidders in flash</w:t>
      </w:r>
      <w:r w:rsidR="009243D6">
        <w:rPr>
          <w:rFonts w:ascii="Arial" w:hAnsi="Arial" w:cs="Arial"/>
          <w:sz w:val="22"/>
          <w:szCs w:val="22"/>
        </w:rPr>
        <w:t>-disk</w:t>
      </w:r>
      <w:r w:rsidRPr="006F79B7">
        <w:rPr>
          <w:rFonts w:ascii="Arial" w:hAnsi="Arial" w:cs="Arial"/>
          <w:sz w:val="22"/>
          <w:szCs w:val="22"/>
        </w:rPr>
        <w:t xml:space="preserve"> from the </w:t>
      </w:r>
      <w:r w:rsidR="0065690B">
        <w:rPr>
          <w:rFonts w:ascii="Arial" w:hAnsi="Arial" w:cs="Arial"/>
          <w:sz w:val="22"/>
          <w:szCs w:val="22"/>
        </w:rPr>
        <w:t>AKHS-A</w:t>
      </w:r>
      <w:r w:rsidRPr="006F79B7">
        <w:rPr>
          <w:rFonts w:ascii="Arial" w:hAnsi="Arial" w:cs="Arial"/>
          <w:sz w:val="22"/>
          <w:szCs w:val="22"/>
        </w:rPr>
        <w:t xml:space="preserve"> office </w:t>
      </w:r>
      <w:r w:rsidR="00963051">
        <w:rPr>
          <w:rFonts w:ascii="Arial" w:hAnsi="Arial" w:cs="Arial"/>
          <w:sz w:val="22"/>
          <w:szCs w:val="22"/>
        </w:rPr>
        <w:t xml:space="preserve">from address </w:t>
      </w:r>
      <w:r w:rsidR="00FF7B2E">
        <w:rPr>
          <w:rFonts w:ascii="Arial" w:hAnsi="Arial" w:cs="Arial"/>
          <w:sz w:val="22"/>
          <w:szCs w:val="22"/>
        </w:rPr>
        <w:t xml:space="preserve">mentioned </w:t>
      </w:r>
      <w:r w:rsidRPr="006F79B7">
        <w:rPr>
          <w:rFonts w:ascii="Arial" w:hAnsi="Arial" w:cs="Arial"/>
          <w:sz w:val="22"/>
          <w:szCs w:val="22"/>
        </w:rPr>
        <w:t>above</w:t>
      </w:r>
      <w:r w:rsidR="0065690B">
        <w:rPr>
          <w:rFonts w:ascii="Arial" w:hAnsi="Arial" w:cs="Arial"/>
          <w:sz w:val="22"/>
          <w:szCs w:val="22"/>
        </w:rPr>
        <w:t xml:space="preserve">. </w:t>
      </w:r>
    </w:p>
    <w:p w14:paraId="64B42C9E" w14:textId="77777777" w:rsidR="008321F9" w:rsidRPr="006F79B7" w:rsidRDefault="008321F9" w:rsidP="008321F9">
      <w:pPr>
        <w:pStyle w:val="ListParagraph"/>
        <w:ind w:left="0"/>
        <w:jc w:val="both"/>
        <w:rPr>
          <w:rFonts w:ascii="Arial" w:hAnsi="Arial" w:cs="Arial"/>
          <w:sz w:val="22"/>
          <w:szCs w:val="22"/>
        </w:rPr>
      </w:pPr>
    </w:p>
    <w:p w14:paraId="6F20901F" w14:textId="4C56955F" w:rsidR="008917DF" w:rsidRDefault="008917DF" w:rsidP="0065690B">
      <w:pPr>
        <w:pStyle w:val="ListParagraph"/>
        <w:ind w:left="0"/>
        <w:jc w:val="both"/>
        <w:rPr>
          <w:rFonts w:ascii="Arial" w:hAnsi="Arial" w:cs="Arial"/>
          <w:sz w:val="22"/>
          <w:szCs w:val="22"/>
        </w:rPr>
      </w:pPr>
      <w:r w:rsidRPr="006F79B7">
        <w:rPr>
          <w:rFonts w:ascii="Arial" w:hAnsi="Arial" w:cs="Arial"/>
          <w:sz w:val="22"/>
          <w:szCs w:val="22"/>
        </w:rPr>
        <w:t xml:space="preserve">Delivery of </w:t>
      </w:r>
      <w:r w:rsidR="008321F9" w:rsidRPr="006F79B7">
        <w:rPr>
          <w:rFonts w:ascii="Arial" w:hAnsi="Arial" w:cs="Arial"/>
          <w:sz w:val="22"/>
          <w:szCs w:val="22"/>
        </w:rPr>
        <w:t>B</w:t>
      </w:r>
      <w:r w:rsidRPr="006F79B7">
        <w:rPr>
          <w:rFonts w:ascii="Arial" w:hAnsi="Arial" w:cs="Arial"/>
          <w:sz w:val="22"/>
          <w:szCs w:val="22"/>
        </w:rPr>
        <w:t>id</w:t>
      </w:r>
      <w:r w:rsidR="00860803">
        <w:rPr>
          <w:rFonts w:ascii="Arial" w:hAnsi="Arial" w:cs="Arial"/>
          <w:sz w:val="22"/>
          <w:szCs w:val="22"/>
        </w:rPr>
        <w:t>s</w:t>
      </w:r>
      <w:r w:rsidRPr="006F79B7">
        <w:rPr>
          <w:rFonts w:ascii="Arial" w:hAnsi="Arial" w:cs="Arial"/>
          <w:sz w:val="22"/>
          <w:szCs w:val="22"/>
        </w:rPr>
        <w:t xml:space="preserve">: </w:t>
      </w:r>
      <w:r w:rsidRPr="00860803">
        <w:rPr>
          <w:rFonts w:ascii="Arial" w:hAnsi="Arial" w:cs="Arial"/>
          <w:sz w:val="22"/>
          <w:szCs w:val="22"/>
        </w:rPr>
        <w:t xml:space="preserve">Completed documents (Technical &amp; Price </w:t>
      </w:r>
      <w:r w:rsidR="008321F9" w:rsidRPr="00860803">
        <w:rPr>
          <w:rFonts w:ascii="Arial" w:hAnsi="Arial" w:cs="Arial"/>
          <w:sz w:val="22"/>
          <w:szCs w:val="22"/>
        </w:rPr>
        <w:t xml:space="preserve">Bids) sealed in </w:t>
      </w:r>
      <w:r w:rsidR="00371DE1" w:rsidRPr="00860803">
        <w:rPr>
          <w:rFonts w:ascii="Arial" w:hAnsi="Arial" w:cs="Arial"/>
          <w:sz w:val="22"/>
          <w:szCs w:val="22"/>
        </w:rPr>
        <w:t xml:space="preserve">a single </w:t>
      </w:r>
      <w:r w:rsidRPr="00860803">
        <w:rPr>
          <w:rFonts w:ascii="Arial" w:hAnsi="Arial" w:cs="Arial"/>
          <w:sz w:val="22"/>
          <w:szCs w:val="22"/>
        </w:rPr>
        <w:t xml:space="preserve">envelope clearly marked as </w:t>
      </w:r>
      <w:r w:rsidR="00EA4EDC" w:rsidRPr="00860803">
        <w:rPr>
          <w:rFonts w:ascii="Arial" w:hAnsi="Arial" w:cs="Arial"/>
          <w:sz w:val="22"/>
          <w:szCs w:val="22"/>
        </w:rPr>
        <w:t>“TECH</w:t>
      </w:r>
      <w:r w:rsidR="001973F4" w:rsidRPr="00860803">
        <w:rPr>
          <w:rFonts w:ascii="Arial" w:hAnsi="Arial" w:cs="Arial"/>
          <w:sz w:val="22"/>
          <w:szCs w:val="22"/>
        </w:rPr>
        <w:t xml:space="preserve">NICAL BID AND PRICE BID” </w:t>
      </w:r>
      <w:r w:rsidRPr="00860803">
        <w:rPr>
          <w:rFonts w:ascii="Arial" w:hAnsi="Arial" w:cs="Arial"/>
          <w:sz w:val="22"/>
          <w:szCs w:val="22"/>
        </w:rPr>
        <w:t>with the P</w:t>
      </w:r>
      <w:r w:rsidR="0065690B" w:rsidRPr="00860803">
        <w:rPr>
          <w:rFonts w:ascii="Arial" w:hAnsi="Arial" w:cs="Arial"/>
          <w:sz w:val="22"/>
          <w:szCs w:val="22"/>
        </w:rPr>
        <w:t>ackage</w:t>
      </w:r>
      <w:r w:rsidRPr="00860803">
        <w:rPr>
          <w:rFonts w:ascii="Arial" w:hAnsi="Arial" w:cs="Arial"/>
          <w:sz w:val="22"/>
          <w:szCs w:val="22"/>
        </w:rPr>
        <w:t xml:space="preserve"> name.</w:t>
      </w:r>
      <w:r w:rsidR="00860803">
        <w:rPr>
          <w:rFonts w:ascii="Arial" w:hAnsi="Arial" w:cs="Arial"/>
          <w:sz w:val="22"/>
          <w:szCs w:val="22"/>
        </w:rPr>
        <w:t xml:space="preserve"> </w:t>
      </w:r>
    </w:p>
    <w:p w14:paraId="7FE0CCFC" w14:textId="77777777" w:rsidR="00860803" w:rsidRDefault="00860803" w:rsidP="0065690B">
      <w:pPr>
        <w:pStyle w:val="ListParagraph"/>
        <w:ind w:left="0"/>
        <w:jc w:val="both"/>
        <w:rPr>
          <w:rFonts w:ascii="Arial" w:hAnsi="Arial" w:cs="Arial"/>
          <w:sz w:val="22"/>
          <w:szCs w:val="22"/>
        </w:rPr>
      </w:pPr>
    </w:p>
    <w:p w14:paraId="17A2DAC2" w14:textId="4373325A" w:rsidR="00860803" w:rsidRPr="00D53902" w:rsidRDefault="00860803" w:rsidP="0065690B">
      <w:pPr>
        <w:pStyle w:val="ListParagraph"/>
        <w:ind w:left="0"/>
        <w:jc w:val="both"/>
        <w:rPr>
          <w:rFonts w:ascii="Arial" w:hAnsi="Arial" w:cs="Arial"/>
          <w:b/>
          <w:bCs/>
          <w:sz w:val="22"/>
          <w:szCs w:val="22"/>
        </w:rPr>
      </w:pPr>
      <w:r w:rsidRPr="00D53902">
        <w:rPr>
          <w:rFonts w:ascii="Arial" w:hAnsi="Arial" w:cs="Arial"/>
          <w:b/>
          <w:bCs/>
          <w:sz w:val="22"/>
          <w:szCs w:val="22"/>
        </w:rPr>
        <w:t>Important notes:</w:t>
      </w:r>
    </w:p>
    <w:p w14:paraId="4F45F696" w14:textId="77777777" w:rsidR="006F79B7" w:rsidRDefault="006F79B7" w:rsidP="006F79B7">
      <w:pPr>
        <w:pStyle w:val="ListParagraph"/>
        <w:ind w:left="990"/>
        <w:rPr>
          <w:rFonts w:ascii="Arial" w:hAnsi="Arial" w:cs="Arial"/>
          <w:sz w:val="22"/>
          <w:szCs w:val="22"/>
        </w:rPr>
      </w:pPr>
    </w:p>
    <w:p w14:paraId="0D345676" w14:textId="77777777" w:rsidR="00860803" w:rsidRDefault="00860803" w:rsidP="00860803">
      <w:pPr>
        <w:pStyle w:val="ListParagraph"/>
        <w:numPr>
          <w:ilvl w:val="0"/>
          <w:numId w:val="4"/>
        </w:numPr>
        <w:ind w:left="990" w:hanging="630"/>
        <w:jc w:val="both"/>
        <w:rPr>
          <w:rFonts w:ascii="Arial" w:hAnsi="Arial" w:cs="Arial"/>
          <w:sz w:val="22"/>
          <w:szCs w:val="22"/>
        </w:rPr>
      </w:pPr>
      <w:r>
        <w:rPr>
          <w:rFonts w:ascii="Arial" w:hAnsi="Arial" w:cs="Arial"/>
          <w:sz w:val="22"/>
          <w:szCs w:val="22"/>
        </w:rPr>
        <w:t xml:space="preserve">Bids shall be submitted </w:t>
      </w:r>
      <w:r w:rsidRPr="006F79B7">
        <w:rPr>
          <w:rFonts w:ascii="Arial" w:hAnsi="Arial" w:cs="Arial"/>
          <w:sz w:val="22"/>
          <w:szCs w:val="22"/>
        </w:rPr>
        <w:t>in</w:t>
      </w:r>
      <w:r w:rsidR="008917DF" w:rsidRPr="006F79B7">
        <w:rPr>
          <w:rFonts w:ascii="Arial" w:hAnsi="Arial" w:cs="Arial"/>
          <w:sz w:val="22"/>
          <w:szCs w:val="22"/>
        </w:rPr>
        <w:t xml:space="preserve"> hard copy at the location and address as described </w:t>
      </w:r>
      <w:r w:rsidR="0065690B">
        <w:rPr>
          <w:rFonts w:ascii="Arial" w:hAnsi="Arial" w:cs="Arial"/>
          <w:sz w:val="22"/>
          <w:szCs w:val="22"/>
        </w:rPr>
        <w:t>in the bidding document</w:t>
      </w:r>
      <w:r w:rsidR="008917DF" w:rsidRPr="006F79B7">
        <w:rPr>
          <w:rFonts w:ascii="Arial" w:hAnsi="Arial" w:cs="Arial"/>
          <w:sz w:val="22"/>
          <w:szCs w:val="22"/>
        </w:rPr>
        <w:t xml:space="preserve">. </w:t>
      </w:r>
      <w:r w:rsidRPr="00CC1A06">
        <w:rPr>
          <w:rFonts w:ascii="Arial" w:hAnsi="Arial" w:cs="Arial"/>
          <w:sz w:val="22"/>
          <w:szCs w:val="22"/>
        </w:rPr>
        <w:t xml:space="preserve">Electronic submission of the bids </w:t>
      </w:r>
      <w:r w:rsidRPr="00860803">
        <w:rPr>
          <w:rFonts w:ascii="Arial" w:hAnsi="Arial" w:cs="Arial"/>
          <w:b/>
          <w:bCs/>
          <w:sz w:val="22"/>
          <w:szCs w:val="22"/>
        </w:rPr>
        <w:t>will NOT</w:t>
      </w:r>
      <w:r w:rsidRPr="00CC1A06">
        <w:rPr>
          <w:rFonts w:ascii="Arial" w:hAnsi="Arial" w:cs="Arial"/>
          <w:sz w:val="22"/>
          <w:szCs w:val="22"/>
        </w:rPr>
        <w:t xml:space="preserve"> be accepted. </w:t>
      </w:r>
    </w:p>
    <w:p w14:paraId="7D6A85BE" w14:textId="79CF0871" w:rsidR="008917DF" w:rsidRPr="00860803" w:rsidRDefault="00860803" w:rsidP="00860803">
      <w:pPr>
        <w:pStyle w:val="ListParagraph"/>
        <w:numPr>
          <w:ilvl w:val="0"/>
          <w:numId w:val="4"/>
        </w:numPr>
        <w:ind w:left="990" w:hanging="630"/>
        <w:jc w:val="both"/>
        <w:rPr>
          <w:rFonts w:ascii="Arial" w:hAnsi="Arial" w:cs="Arial"/>
          <w:sz w:val="22"/>
          <w:szCs w:val="22"/>
        </w:rPr>
      </w:pPr>
      <w:r w:rsidRPr="00CC1A06">
        <w:rPr>
          <w:rFonts w:ascii="Arial" w:hAnsi="Arial" w:cs="Arial"/>
          <w:sz w:val="22"/>
          <w:szCs w:val="22"/>
        </w:rPr>
        <w:t xml:space="preserve">Bidders are required to submit bids in person or courier on or before </w:t>
      </w:r>
      <w:r>
        <w:rPr>
          <w:rFonts w:ascii="Arial" w:hAnsi="Arial" w:cs="Arial"/>
          <w:sz w:val="22"/>
          <w:szCs w:val="22"/>
        </w:rPr>
        <w:t>o</w:t>
      </w:r>
      <w:r w:rsidR="008917DF" w:rsidRPr="00860803">
        <w:rPr>
          <w:rFonts w:ascii="Arial" w:hAnsi="Arial" w:cs="Arial"/>
          <w:sz w:val="22"/>
          <w:szCs w:val="22"/>
        </w:rPr>
        <w:t xml:space="preserve">n or before the deadline: </w:t>
      </w:r>
      <w:r w:rsidR="008F263C">
        <w:rPr>
          <w:rFonts w:ascii="Arial" w:hAnsi="Arial" w:cs="Arial"/>
          <w:b/>
          <w:sz w:val="22"/>
          <w:szCs w:val="22"/>
          <w:highlight w:val="yellow"/>
        </w:rPr>
        <w:t>16-May-</w:t>
      </w:r>
      <w:r w:rsidR="008917DF" w:rsidRPr="00860803">
        <w:rPr>
          <w:rFonts w:ascii="Arial" w:hAnsi="Arial" w:cs="Arial"/>
          <w:b/>
          <w:sz w:val="22"/>
          <w:szCs w:val="22"/>
          <w:highlight w:val="yellow"/>
        </w:rPr>
        <w:t>20</w:t>
      </w:r>
      <w:r w:rsidR="009243D6" w:rsidRPr="00860803">
        <w:rPr>
          <w:rFonts w:ascii="Arial" w:hAnsi="Arial" w:cs="Arial"/>
          <w:b/>
          <w:sz w:val="22"/>
          <w:szCs w:val="22"/>
          <w:highlight w:val="yellow"/>
        </w:rPr>
        <w:t>24</w:t>
      </w:r>
      <w:r w:rsidR="008917DF" w:rsidRPr="00860803">
        <w:rPr>
          <w:rFonts w:ascii="Arial" w:hAnsi="Arial" w:cs="Arial"/>
          <w:b/>
          <w:color w:val="FF0000"/>
          <w:sz w:val="22"/>
          <w:szCs w:val="22"/>
          <w:highlight w:val="yellow"/>
        </w:rPr>
        <w:t xml:space="preserve"> </w:t>
      </w:r>
      <w:r w:rsidR="008917DF" w:rsidRPr="00860803">
        <w:rPr>
          <w:rFonts w:ascii="Arial" w:hAnsi="Arial" w:cs="Arial"/>
          <w:b/>
          <w:sz w:val="22"/>
          <w:szCs w:val="22"/>
          <w:highlight w:val="yellow"/>
        </w:rPr>
        <w:t>at 10:00 AM</w:t>
      </w:r>
      <w:r>
        <w:rPr>
          <w:rFonts w:ascii="Arial" w:hAnsi="Arial" w:cs="Arial"/>
          <w:b/>
          <w:sz w:val="22"/>
          <w:szCs w:val="22"/>
        </w:rPr>
        <w:t xml:space="preserve">, </w:t>
      </w:r>
      <w:r>
        <w:rPr>
          <w:rFonts w:ascii="Arial" w:hAnsi="Arial" w:cs="Arial"/>
          <w:bCs/>
          <w:sz w:val="22"/>
          <w:szCs w:val="22"/>
        </w:rPr>
        <w:t>t</w:t>
      </w:r>
      <w:r w:rsidR="008917DF" w:rsidRPr="00860803">
        <w:rPr>
          <w:rFonts w:ascii="Arial" w:hAnsi="Arial" w:cs="Arial"/>
          <w:sz w:val="22"/>
          <w:szCs w:val="22"/>
        </w:rPr>
        <w:t>ogether with a Bid Security in the amount as described in the Bidding Document, valid up to 28 days after the expiry of the bid validity period</w:t>
      </w:r>
      <w:r w:rsidR="008F263C">
        <w:rPr>
          <w:rFonts w:ascii="Arial" w:hAnsi="Arial" w:cs="Arial"/>
          <w:sz w:val="22"/>
          <w:szCs w:val="22"/>
        </w:rPr>
        <w:t>.</w:t>
      </w:r>
    </w:p>
    <w:p w14:paraId="7A99D4CA" w14:textId="228FBB9E" w:rsidR="008917DF" w:rsidRDefault="008917DF" w:rsidP="00EA03A0">
      <w:pPr>
        <w:pStyle w:val="ListParagraph"/>
        <w:numPr>
          <w:ilvl w:val="0"/>
          <w:numId w:val="4"/>
        </w:numPr>
        <w:ind w:left="990" w:hanging="630"/>
        <w:jc w:val="both"/>
        <w:rPr>
          <w:rFonts w:ascii="Arial" w:hAnsi="Arial" w:cs="Arial"/>
          <w:sz w:val="22"/>
          <w:szCs w:val="22"/>
        </w:rPr>
      </w:pPr>
      <w:r w:rsidRPr="006F79B7">
        <w:rPr>
          <w:rFonts w:ascii="Arial" w:hAnsi="Arial" w:cs="Arial"/>
          <w:sz w:val="22"/>
          <w:szCs w:val="22"/>
        </w:rPr>
        <w:t xml:space="preserve">The </w:t>
      </w:r>
      <w:r w:rsidR="008321F9" w:rsidRPr="006F79B7">
        <w:rPr>
          <w:rFonts w:ascii="Arial" w:hAnsi="Arial" w:cs="Arial"/>
          <w:sz w:val="22"/>
          <w:szCs w:val="22"/>
        </w:rPr>
        <w:t>bid</w:t>
      </w:r>
      <w:r w:rsidR="00371DE1">
        <w:rPr>
          <w:rFonts w:ascii="Arial" w:hAnsi="Arial" w:cs="Arial"/>
          <w:sz w:val="22"/>
          <w:szCs w:val="22"/>
        </w:rPr>
        <w:t>s</w:t>
      </w:r>
      <w:r w:rsidR="008321F9" w:rsidRPr="006F79B7">
        <w:rPr>
          <w:rFonts w:ascii="Arial" w:hAnsi="Arial" w:cs="Arial"/>
          <w:sz w:val="22"/>
          <w:szCs w:val="22"/>
        </w:rPr>
        <w:t xml:space="preserve"> will be opened on</w:t>
      </w:r>
      <w:r w:rsidR="00FF7B2E">
        <w:rPr>
          <w:rFonts w:ascii="Arial" w:hAnsi="Arial" w:cs="Arial"/>
          <w:sz w:val="22"/>
          <w:szCs w:val="22"/>
        </w:rPr>
        <w:t xml:space="preserve"> the</w:t>
      </w:r>
      <w:r w:rsidR="008321F9" w:rsidRPr="006F79B7">
        <w:rPr>
          <w:rFonts w:ascii="Arial" w:hAnsi="Arial" w:cs="Arial"/>
          <w:sz w:val="22"/>
          <w:szCs w:val="22"/>
        </w:rPr>
        <w:t xml:space="preserve"> </w:t>
      </w:r>
      <w:r w:rsidR="008F263C">
        <w:rPr>
          <w:rFonts w:ascii="Arial" w:hAnsi="Arial" w:cs="Arial"/>
          <w:b/>
          <w:sz w:val="22"/>
          <w:szCs w:val="22"/>
          <w:highlight w:val="yellow"/>
        </w:rPr>
        <w:t>16-May-</w:t>
      </w:r>
      <w:r w:rsidR="008F263C" w:rsidRPr="00860803">
        <w:rPr>
          <w:rFonts w:ascii="Arial" w:hAnsi="Arial" w:cs="Arial"/>
          <w:b/>
          <w:sz w:val="22"/>
          <w:szCs w:val="22"/>
          <w:highlight w:val="yellow"/>
        </w:rPr>
        <w:t>2024</w:t>
      </w:r>
      <w:r w:rsidR="008F263C" w:rsidRPr="00860803">
        <w:rPr>
          <w:rFonts w:ascii="Arial" w:hAnsi="Arial" w:cs="Arial"/>
          <w:b/>
          <w:color w:val="FF0000"/>
          <w:sz w:val="22"/>
          <w:szCs w:val="22"/>
          <w:highlight w:val="yellow"/>
        </w:rPr>
        <w:t xml:space="preserve"> </w:t>
      </w:r>
      <w:r w:rsidR="008F263C" w:rsidRPr="00860803">
        <w:rPr>
          <w:rFonts w:ascii="Arial" w:hAnsi="Arial" w:cs="Arial"/>
          <w:b/>
          <w:sz w:val="22"/>
          <w:szCs w:val="22"/>
          <w:highlight w:val="yellow"/>
        </w:rPr>
        <w:t>at 10:00 AM</w:t>
      </w:r>
      <w:r w:rsidR="008F263C" w:rsidRPr="006F79B7">
        <w:rPr>
          <w:rFonts w:ascii="Arial" w:hAnsi="Arial" w:cs="Arial"/>
          <w:sz w:val="22"/>
          <w:szCs w:val="22"/>
        </w:rPr>
        <w:t xml:space="preserve"> </w:t>
      </w:r>
      <w:r w:rsidRPr="006F79B7">
        <w:rPr>
          <w:rFonts w:ascii="Arial" w:hAnsi="Arial" w:cs="Arial"/>
          <w:sz w:val="22"/>
          <w:szCs w:val="22"/>
        </w:rPr>
        <w:t>in the presence of the bidders’ designated representatives who chooses to attend.</w:t>
      </w:r>
    </w:p>
    <w:p w14:paraId="11EA70A2" w14:textId="77777777" w:rsidR="00CC1A06" w:rsidRDefault="00635DFC" w:rsidP="00635DFC">
      <w:pPr>
        <w:pStyle w:val="ListParagraph"/>
        <w:numPr>
          <w:ilvl w:val="0"/>
          <w:numId w:val="4"/>
        </w:numPr>
        <w:ind w:left="990" w:hanging="630"/>
        <w:jc w:val="both"/>
        <w:rPr>
          <w:rFonts w:ascii="Arial" w:hAnsi="Arial" w:cs="Arial"/>
          <w:sz w:val="22"/>
          <w:szCs w:val="22"/>
        </w:rPr>
      </w:pPr>
      <w:r w:rsidRPr="008F263C">
        <w:rPr>
          <w:rFonts w:ascii="Arial" w:hAnsi="Arial" w:cs="Arial"/>
          <w:sz w:val="22"/>
          <w:szCs w:val="22"/>
        </w:rPr>
        <w:t>a</w:t>
      </w:r>
      <w:r w:rsidR="008917DF" w:rsidRPr="008F263C">
        <w:rPr>
          <w:rFonts w:ascii="Arial" w:hAnsi="Arial" w:cs="Arial"/>
          <w:sz w:val="22"/>
          <w:szCs w:val="22"/>
        </w:rPr>
        <w:t xml:space="preserve"> pre-bid meeting shall </w:t>
      </w:r>
      <w:r w:rsidR="005E7BDD" w:rsidRPr="008F263C">
        <w:rPr>
          <w:rFonts w:ascii="Arial" w:hAnsi="Arial" w:cs="Arial"/>
          <w:sz w:val="22"/>
          <w:szCs w:val="22"/>
        </w:rPr>
        <w:t>not be held</w:t>
      </w:r>
      <w:r w:rsidR="005E7BDD" w:rsidRPr="00635DFC">
        <w:rPr>
          <w:rFonts w:ascii="Arial" w:hAnsi="Arial" w:cs="Arial"/>
          <w:sz w:val="22"/>
          <w:szCs w:val="22"/>
        </w:rPr>
        <w:t>.</w:t>
      </w:r>
    </w:p>
    <w:p w14:paraId="35A3E543" w14:textId="4443F00B" w:rsidR="008917DF" w:rsidRDefault="00CC1A06" w:rsidP="00635DFC">
      <w:pPr>
        <w:pStyle w:val="ListParagraph"/>
        <w:numPr>
          <w:ilvl w:val="0"/>
          <w:numId w:val="4"/>
        </w:numPr>
        <w:ind w:left="990" w:hanging="630"/>
        <w:jc w:val="both"/>
        <w:rPr>
          <w:rFonts w:ascii="Arial" w:hAnsi="Arial" w:cs="Arial"/>
          <w:sz w:val="22"/>
          <w:szCs w:val="22"/>
        </w:rPr>
      </w:pPr>
      <w:r w:rsidRPr="00CC1A06">
        <w:rPr>
          <w:rFonts w:ascii="Arial" w:hAnsi="Arial" w:cs="Arial"/>
          <w:sz w:val="22"/>
          <w:szCs w:val="22"/>
        </w:rPr>
        <w:t>The Client will NOT consider any bids that arrive after the deadline for submission of bids. Any bids received after the deadline for submission of bids shall be declared late, rejected, and returned unopened to the bidder.</w:t>
      </w:r>
      <w:r w:rsidR="005E7BDD" w:rsidRPr="00635DFC">
        <w:rPr>
          <w:rFonts w:ascii="Arial" w:hAnsi="Arial" w:cs="Arial"/>
          <w:sz w:val="22"/>
          <w:szCs w:val="22"/>
        </w:rPr>
        <w:t xml:space="preserve"> </w:t>
      </w:r>
    </w:p>
    <w:p w14:paraId="6B651FAD" w14:textId="42C22FE4" w:rsidR="00860803" w:rsidRPr="00860803" w:rsidRDefault="00860803" w:rsidP="00860803">
      <w:pPr>
        <w:pStyle w:val="ListParagraph"/>
        <w:numPr>
          <w:ilvl w:val="0"/>
          <w:numId w:val="4"/>
        </w:numPr>
        <w:ind w:left="990" w:hanging="630"/>
        <w:jc w:val="both"/>
        <w:rPr>
          <w:rFonts w:ascii="Arial" w:hAnsi="Arial" w:cs="Arial"/>
          <w:sz w:val="22"/>
          <w:szCs w:val="22"/>
        </w:rPr>
      </w:pPr>
      <w:r w:rsidRPr="00860803">
        <w:rPr>
          <w:rFonts w:ascii="Arial" w:hAnsi="Arial" w:cs="Arial"/>
          <w:sz w:val="22"/>
          <w:szCs w:val="22"/>
        </w:rPr>
        <w:t>The Client will not be responsible for any cost or expenses incurred by Bidders in connection with the preparation and delivery of their bids.</w:t>
      </w:r>
    </w:p>
    <w:p w14:paraId="17B08EDB" w14:textId="77777777" w:rsidR="00860803" w:rsidRPr="00860803" w:rsidRDefault="00860803" w:rsidP="00860803">
      <w:pPr>
        <w:jc w:val="both"/>
        <w:rPr>
          <w:rFonts w:ascii="Arial" w:hAnsi="Arial" w:cs="Arial"/>
          <w:sz w:val="22"/>
          <w:szCs w:val="22"/>
        </w:rPr>
      </w:pPr>
    </w:p>
    <w:p w14:paraId="4FEB43AB" w14:textId="77777777" w:rsidR="008917DF" w:rsidRPr="006F79B7" w:rsidRDefault="008917DF" w:rsidP="00CC22EC">
      <w:pPr>
        <w:rPr>
          <w:rFonts w:ascii="Arial" w:hAnsi="Arial" w:cs="Arial"/>
          <w:sz w:val="22"/>
          <w:szCs w:val="22"/>
        </w:rPr>
      </w:pPr>
    </w:p>
    <w:sectPr w:rsidR="008917DF" w:rsidRPr="006F79B7" w:rsidSect="00D770BF">
      <w:pgSz w:w="11900" w:h="16840"/>
      <w:pgMar w:top="630" w:right="1010" w:bottom="540" w:left="117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893E7" w14:textId="77777777" w:rsidR="00D770BF" w:rsidRDefault="00D770BF" w:rsidP="0034533D">
      <w:r>
        <w:separator/>
      </w:r>
    </w:p>
  </w:endnote>
  <w:endnote w:type="continuationSeparator" w:id="0">
    <w:p w14:paraId="677E83F0" w14:textId="77777777" w:rsidR="00D770BF" w:rsidRDefault="00D770BF" w:rsidP="0034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8B567" w14:textId="77777777" w:rsidR="00D770BF" w:rsidRDefault="00D770BF" w:rsidP="0034533D">
      <w:r>
        <w:separator/>
      </w:r>
    </w:p>
  </w:footnote>
  <w:footnote w:type="continuationSeparator" w:id="0">
    <w:p w14:paraId="4D58F311" w14:textId="77777777" w:rsidR="00D770BF" w:rsidRDefault="00D770BF" w:rsidP="0034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F63"/>
    <w:multiLevelType w:val="hybridMultilevel"/>
    <w:tmpl w:val="26F4BD82"/>
    <w:lvl w:ilvl="0" w:tplc="EC72887A">
      <w:start w:val="1"/>
      <w:numFmt w:val="lowerLetter"/>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C24726A"/>
    <w:multiLevelType w:val="hybridMultilevel"/>
    <w:tmpl w:val="56742582"/>
    <w:lvl w:ilvl="0" w:tplc="2A58C676">
      <w:start w:val="7"/>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0FFB3863"/>
    <w:multiLevelType w:val="hybridMultilevel"/>
    <w:tmpl w:val="DDE2E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3B5D5E"/>
    <w:multiLevelType w:val="hybridMultilevel"/>
    <w:tmpl w:val="404E81D0"/>
    <w:lvl w:ilvl="0" w:tplc="30ACA1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B1F75"/>
    <w:multiLevelType w:val="hybridMultilevel"/>
    <w:tmpl w:val="EC561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E0633"/>
    <w:multiLevelType w:val="hybridMultilevel"/>
    <w:tmpl w:val="F092C8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A0662D"/>
    <w:multiLevelType w:val="hybridMultilevel"/>
    <w:tmpl w:val="F092C8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BA17B1"/>
    <w:multiLevelType w:val="hybridMultilevel"/>
    <w:tmpl w:val="3BEE6696"/>
    <w:lvl w:ilvl="0" w:tplc="04090001">
      <w:start w:val="1"/>
      <w:numFmt w:val="bullet"/>
      <w:pStyle w:val="BodyTex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205D49"/>
    <w:multiLevelType w:val="hybridMultilevel"/>
    <w:tmpl w:val="F092C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E506E"/>
    <w:multiLevelType w:val="hybridMultilevel"/>
    <w:tmpl w:val="8806F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E27E9"/>
    <w:multiLevelType w:val="hybridMultilevel"/>
    <w:tmpl w:val="53E00FE2"/>
    <w:lvl w:ilvl="0" w:tplc="D16486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CD30CA"/>
    <w:multiLevelType w:val="hybridMultilevel"/>
    <w:tmpl w:val="EC7E4D86"/>
    <w:lvl w:ilvl="0" w:tplc="D16486CE">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827D06"/>
    <w:multiLevelType w:val="multilevel"/>
    <w:tmpl w:val="1EB2F98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1974087">
    <w:abstractNumId w:val="4"/>
  </w:num>
  <w:num w:numId="2" w16cid:durableId="1571647725">
    <w:abstractNumId w:val="10"/>
  </w:num>
  <w:num w:numId="3" w16cid:durableId="1443113152">
    <w:abstractNumId w:val="12"/>
  </w:num>
  <w:num w:numId="4" w16cid:durableId="2089694729">
    <w:abstractNumId w:val="9"/>
  </w:num>
  <w:num w:numId="5" w16cid:durableId="333185739">
    <w:abstractNumId w:val="3"/>
  </w:num>
  <w:num w:numId="6" w16cid:durableId="1308629341">
    <w:abstractNumId w:val="2"/>
  </w:num>
  <w:num w:numId="7" w16cid:durableId="1466508064">
    <w:abstractNumId w:val="7"/>
  </w:num>
  <w:num w:numId="8" w16cid:durableId="450706733">
    <w:abstractNumId w:val="11"/>
  </w:num>
  <w:num w:numId="9" w16cid:durableId="371273519">
    <w:abstractNumId w:val="0"/>
  </w:num>
  <w:num w:numId="10" w16cid:durableId="1290358147">
    <w:abstractNumId w:val="1"/>
  </w:num>
  <w:num w:numId="11" w16cid:durableId="1093206690">
    <w:abstractNumId w:val="8"/>
  </w:num>
  <w:num w:numId="12" w16cid:durableId="1918705934">
    <w:abstractNumId w:val="6"/>
  </w:num>
  <w:num w:numId="13" w16cid:durableId="1185945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3D"/>
    <w:rsid w:val="00007DB8"/>
    <w:rsid w:val="00026759"/>
    <w:rsid w:val="000528A4"/>
    <w:rsid w:val="00060A06"/>
    <w:rsid w:val="00076A71"/>
    <w:rsid w:val="00087972"/>
    <w:rsid w:val="000F1CB9"/>
    <w:rsid w:val="00190D28"/>
    <w:rsid w:val="001973F4"/>
    <w:rsid w:val="001B7BF4"/>
    <w:rsid w:val="001F2F9B"/>
    <w:rsid w:val="002D5A25"/>
    <w:rsid w:val="002E709A"/>
    <w:rsid w:val="002F78E0"/>
    <w:rsid w:val="00306EF1"/>
    <w:rsid w:val="00323685"/>
    <w:rsid w:val="0034533D"/>
    <w:rsid w:val="00346FED"/>
    <w:rsid w:val="00371DE1"/>
    <w:rsid w:val="003C2342"/>
    <w:rsid w:val="003C2AF7"/>
    <w:rsid w:val="003D5572"/>
    <w:rsid w:val="00405A38"/>
    <w:rsid w:val="00435FFF"/>
    <w:rsid w:val="004704E7"/>
    <w:rsid w:val="004731E0"/>
    <w:rsid w:val="004837B0"/>
    <w:rsid w:val="004840BE"/>
    <w:rsid w:val="004C4E7E"/>
    <w:rsid w:val="00512341"/>
    <w:rsid w:val="00516A23"/>
    <w:rsid w:val="00565B8A"/>
    <w:rsid w:val="00567D3E"/>
    <w:rsid w:val="005726FD"/>
    <w:rsid w:val="00582F5F"/>
    <w:rsid w:val="005964BD"/>
    <w:rsid w:val="005B17C2"/>
    <w:rsid w:val="005E7BDD"/>
    <w:rsid w:val="00630A6D"/>
    <w:rsid w:val="00635DFC"/>
    <w:rsid w:val="006424EE"/>
    <w:rsid w:val="006556B8"/>
    <w:rsid w:val="0065690B"/>
    <w:rsid w:val="00663B80"/>
    <w:rsid w:val="0067095A"/>
    <w:rsid w:val="006777A5"/>
    <w:rsid w:val="006A34C6"/>
    <w:rsid w:val="006C4F8C"/>
    <w:rsid w:val="006C6014"/>
    <w:rsid w:val="006D3AE3"/>
    <w:rsid w:val="006D5659"/>
    <w:rsid w:val="006F73EC"/>
    <w:rsid w:val="006F79B7"/>
    <w:rsid w:val="00760698"/>
    <w:rsid w:val="007B77FA"/>
    <w:rsid w:val="007D715F"/>
    <w:rsid w:val="0080353B"/>
    <w:rsid w:val="00803C2F"/>
    <w:rsid w:val="008321F9"/>
    <w:rsid w:val="00840158"/>
    <w:rsid w:val="00860803"/>
    <w:rsid w:val="008719CD"/>
    <w:rsid w:val="008917DF"/>
    <w:rsid w:val="008E26DB"/>
    <w:rsid w:val="008F2344"/>
    <w:rsid w:val="008F263C"/>
    <w:rsid w:val="0090147A"/>
    <w:rsid w:val="009243D6"/>
    <w:rsid w:val="00926F5E"/>
    <w:rsid w:val="00963051"/>
    <w:rsid w:val="009D4A88"/>
    <w:rsid w:val="009E52DA"/>
    <w:rsid w:val="009E762E"/>
    <w:rsid w:val="009F6C93"/>
    <w:rsid w:val="00A31C15"/>
    <w:rsid w:val="00A3545B"/>
    <w:rsid w:val="00A56008"/>
    <w:rsid w:val="00A56B91"/>
    <w:rsid w:val="00A60230"/>
    <w:rsid w:val="00A917B3"/>
    <w:rsid w:val="00A92613"/>
    <w:rsid w:val="00AC2EA9"/>
    <w:rsid w:val="00AC424B"/>
    <w:rsid w:val="00AE023D"/>
    <w:rsid w:val="00B14B28"/>
    <w:rsid w:val="00B14BD7"/>
    <w:rsid w:val="00B341A3"/>
    <w:rsid w:val="00B53323"/>
    <w:rsid w:val="00B81107"/>
    <w:rsid w:val="00BA5DB3"/>
    <w:rsid w:val="00BE2AF4"/>
    <w:rsid w:val="00BF308C"/>
    <w:rsid w:val="00C173DA"/>
    <w:rsid w:val="00C2133D"/>
    <w:rsid w:val="00C24F7A"/>
    <w:rsid w:val="00C437C2"/>
    <w:rsid w:val="00C73B69"/>
    <w:rsid w:val="00C81E04"/>
    <w:rsid w:val="00CC1A06"/>
    <w:rsid w:val="00CC22EC"/>
    <w:rsid w:val="00CE3CA4"/>
    <w:rsid w:val="00CE6BBE"/>
    <w:rsid w:val="00CF2AD3"/>
    <w:rsid w:val="00D11A22"/>
    <w:rsid w:val="00D53902"/>
    <w:rsid w:val="00D770BF"/>
    <w:rsid w:val="00D773C7"/>
    <w:rsid w:val="00DB08EF"/>
    <w:rsid w:val="00DB5FA8"/>
    <w:rsid w:val="00DD329D"/>
    <w:rsid w:val="00DD5DD3"/>
    <w:rsid w:val="00DE3E15"/>
    <w:rsid w:val="00DE4527"/>
    <w:rsid w:val="00E264A4"/>
    <w:rsid w:val="00E56C8A"/>
    <w:rsid w:val="00E82DE8"/>
    <w:rsid w:val="00E91DAE"/>
    <w:rsid w:val="00E97613"/>
    <w:rsid w:val="00EA03A0"/>
    <w:rsid w:val="00EA4EDC"/>
    <w:rsid w:val="00EB5520"/>
    <w:rsid w:val="00EC0579"/>
    <w:rsid w:val="00ED1BBC"/>
    <w:rsid w:val="00EE1A27"/>
    <w:rsid w:val="00EF72D8"/>
    <w:rsid w:val="00F25678"/>
    <w:rsid w:val="00F36844"/>
    <w:rsid w:val="00F63DF3"/>
    <w:rsid w:val="00F8373A"/>
    <w:rsid w:val="00FC0228"/>
    <w:rsid w:val="00FC43B1"/>
    <w:rsid w:val="00FC609E"/>
    <w:rsid w:val="00FE4AFA"/>
    <w:rsid w:val="00FF7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3BAAD5"/>
  <w15:docId w15:val="{FEE5578C-20EB-498D-9C2F-C305CFA1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5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3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33D"/>
    <w:rPr>
      <w:rFonts w:ascii="Lucida Grande" w:hAnsi="Lucida Grande" w:cs="Lucida Grande"/>
      <w:sz w:val="18"/>
      <w:szCs w:val="18"/>
    </w:rPr>
  </w:style>
  <w:style w:type="paragraph" w:styleId="Header">
    <w:name w:val="header"/>
    <w:basedOn w:val="Normal"/>
    <w:link w:val="HeaderChar"/>
    <w:uiPriority w:val="99"/>
    <w:unhideWhenUsed/>
    <w:rsid w:val="0034533D"/>
    <w:pPr>
      <w:tabs>
        <w:tab w:val="center" w:pos="4320"/>
        <w:tab w:val="right" w:pos="8640"/>
      </w:tabs>
    </w:pPr>
  </w:style>
  <w:style w:type="character" w:customStyle="1" w:styleId="HeaderChar">
    <w:name w:val="Header Char"/>
    <w:basedOn w:val="DefaultParagraphFont"/>
    <w:link w:val="Header"/>
    <w:uiPriority w:val="99"/>
    <w:rsid w:val="0034533D"/>
  </w:style>
  <w:style w:type="paragraph" w:styleId="Footer">
    <w:name w:val="footer"/>
    <w:basedOn w:val="Normal"/>
    <w:link w:val="FooterChar"/>
    <w:unhideWhenUsed/>
    <w:rsid w:val="0034533D"/>
    <w:pPr>
      <w:tabs>
        <w:tab w:val="center" w:pos="4320"/>
        <w:tab w:val="right" w:pos="8640"/>
      </w:tabs>
    </w:pPr>
  </w:style>
  <w:style w:type="character" w:customStyle="1" w:styleId="FooterChar">
    <w:name w:val="Footer Char"/>
    <w:basedOn w:val="DefaultParagraphFont"/>
    <w:link w:val="Footer"/>
    <w:uiPriority w:val="99"/>
    <w:rsid w:val="0034533D"/>
  </w:style>
  <w:style w:type="paragraph" w:styleId="ListParagraph">
    <w:name w:val="List Paragraph"/>
    <w:basedOn w:val="Normal"/>
    <w:uiPriority w:val="34"/>
    <w:qFormat/>
    <w:rsid w:val="008917DF"/>
    <w:pPr>
      <w:ind w:left="720"/>
      <w:contextualSpacing/>
    </w:pPr>
  </w:style>
  <w:style w:type="character" w:styleId="Hyperlink">
    <w:name w:val="Hyperlink"/>
    <w:basedOn w:val="DefaultParagraphFont"/>
    <w:uiPriority w:val="99"/>
    <w:unhideWhenUsed/>
    <w:rsid w:val="008321F9"/>
    <w:rPr>
      <w:color w:val="0000FF" w:themeColor="hyperlink"/>
      <w:u w:val="single"/>
    </w:rPr>
  </w:style>
  <w:style w:type="character" w:styleId="FollowedHyperlink">
    <w:name w:val="FollowedHyperlink"/>
    <w:basedOn w:val="DefaultParagraphFont"/>
    <w:uiPriority w:val="99"/>
    <w:semiHidden/>
    <w:unhideWhenUsed/>
    <w:rsid w:val="008321F9"/>
    <w:rPr>
      <w:color w:val="800080" w:themeColor="followedHyperlink"/>
      <w:u w:val="single"/>
    </w:rPr>
  </w:style>
  <w:style w:type="character" w:styleId="CommentReference">
    <w:name w:val="annotation reference"/>
    <w:basedOn w:val="DefaultParagraphFont"/>
    <w:uiPriority w:val="99"/>
    <w:semiHidden/>
    <w:unhideWhenUsed/>
    <w:rsid w:val="00C73B69"/>
    <w:rPr>
      <w:sz w:val="16"/>
      <w:szCs w:val="16"/>
    </w:rPr>
  </w:style>
  <w:style w:type="paragraph" w:styleId="CommentText">
    <w:name w:val="annotation text"/>
    <w:basedOn w:val="Normal"/>
    <w:link w:val="CommentTextChar"/>
    <w:uiPriority w:val="99"/>
    <w:semiHidden/>
    <w:unhideWhenUsed/>
    <w:rsid w:val="00C73B69"/>
    <w:rPr>
      <w:sz w:val="20"/>
      <w:szCs w:val="20"/>
    </w:rPr>
  </w:style>
  <w:style w:type="character" w:customStyle="1" w:styleId="CommentTextChar">
    <w:name w:val="Comment Text Char"/>
    <w:basedOn w:val="DefaultParagraphFont"/>
    <w:link w:val="CommentText"/>
    <w:uiPriority w:val="99"/>
    <w:semiHidden/>
    <w:rsid w:val="00C73B69"/>
    <w:rPr>
      <w:sz w:val="20"/>
      <w:szCs w:val="20"/>
    </w:rPr>
  </w:style>
  <w:style w:type="paragraph" w:styleId="CommentSubject">
    <w:name w:val="annotation subject"/>
    <w:basedOn w:val="CommentText"/>
    <w:next w:val="CommentText"/>
    <w:link w:val="CommentSubjectChar"/>
    <w:uiPriority w:val="99"/>
    <w:semiHidden/>
    <w:unhideWhenUsed/>
    <w:rsid w:val="00C73B69"/>
    <w:rPr>
      <w:b/>
      <w:bCs/>
    </w:rPr>
  </w:style>
  <w:style w:type="character" w:customStyle="1" w:styleId="CommentSubjectChar">
    <w:name w:val="Comment Subject Char"/>
    <w:basedOn w:val="CommentTextChar"/>
    <w:link w:val="CommentSubject"/>
    <w:uiPriority w:val="99"/>
    <w:semiHidden/>
    <w:rsid w:val="00C73B69"/>
    <w:rPr>
      <w:b/>
      <w:bCs/>
      <w:sz w:val="20"/>
      <w:szCs w:val="20"/>
    </w:rPr>
  </w:style>
  <w:style w:type="paragraph" w:styleId="Revision">
    <w:name w:val="Revision"/>
    <w:hidden/>
    <w:uiPriority w:val="99"/>
    <w:semiHidden/>
    <w:rsid w:val="00DE4527"/>
  </w:style>
  <w:style w:type="paragraph" w:styleId="Caption">
    <w:name w:val="caption"/>
    <w:basedOn w:val="Normal"/>
    <w:next w:val="Normal"/>
    <w:uiPriority w:val="35"/>
    <w:unhideWhenUsed/>
    <w:qFormat/>
    <w:rsid w:val="00BE2AF4"/>
    <w:pPr>
      <w:spacing w:after="200"/>
    </w:pPr>
    <w:rPr>
      <w:i/>
      <w:iCs/>
      <w:color w:val="1F497D" w:themeColor="text2"/>
      <w:sz w:val="18"/>
      <w:szCs w:val="18"/>
    </w:rPr>
  </w:style>
  <w:style w:type="paragraph" w:customStyle="1" w:styleId="msolistparagraph0">
    <w:name w:val="msolistparagraph"/>
    <w:basedOn w:val="Normal"/>
    <w:uiPriority w:val="99"/>
    <w:rsid w:val="00860803"/>
    <w:pPr>
      <w:spacing w:after="200" w:line="276" w:lineRule="auto"/>
      <w:ind w:left="720"/>
    </w:pPr>
    <w:rPr>
      <w:rFonts w:ascii="Calibri" w:eastAsia="Times New Roman" w:hAnsi="Calibri" w:cs="Arial"/>
      <w:sz w:val="22"/>
      <w:szCs w:val="22"/>
    </w:rPr>
  </w:style>
  <w:style w:type="paragraph" w:customStyle="1" w:styleId="BankNormal">
    <w:name w:val="BankNormal"/>
    <w:basedOn w:val="Normal"/>
    <w:link w:val="BankNormalChar"/>
    <w:rsid w:val="00B81107"/>
    <w:pPr>
      <w:spacing w:after="240"/>
    </w:pPr>
    <w:rPr>
      <w:rFonts w:ascii="Times New Roman" w:eastAsia="Times New Roman" w:hAnsi="Times New Roman" w:cs="Times New Roman"/>
      <w:szCs w:val="20"/>
      <w:lang w:val="x-none" w:eastAsia="x-none"/>
    </w:rPr>
  </w:style>
  <w:style w:type="character" w:customStyle="1" w:styleId="BankNormalChar">
    <w:name w:val="BankNormal Char"/>
    <w:link w:val="BankNormal"/>
    <w:rsid w:val="00B81107"/>
    <w:rPr>
      <w:rFonts w:ascii="Times New Roman" w:eastAsia="Times New Roman" w:hAnsi="Times New Roman" w:cs="Times New Roman"/>
      <w:szCs w:val="20"/>
      <w:lang w:val="x-none" w:eastAsia="x-none"/>
    </w:rPr>
  </w:style>
  <w:style w:type="paragraph" w:styleId="BodyText2">
    <w:name w:val="Body Text 2"/>
    <w:basedOn w:val="Normal"/>
    <w:link w:val="BodyText2Char"/>
    <w:rsid w:val="00B81107"/>
    <w:pPr>
      <w:numPr>
        <w:numId w:val="7"/>
      </w:numPr>
      <w:spacing w:before="120" w:after="120"/>
      <w:jc w:val="center"/>
    </w:pPr>
    <w:rPr>
      <w:rFonts w:ascii="Times New Roman" w:eastAsia="Times New Roman" w:hAnsi="Times New Roman" w:cs="Times New Roman"/>
      <w:b/>
      <w:sz w:val="28"/>
      <w:szCs w:val="20"/>
    </w:rPr>
  </w:style>
  <w:style w:type="character" w:customStyle="1" w:styleId="BodyText2Char">
    <w:name w:val="Body Text 2 Char"/>
    <w:basedOn w:val="DefaultParagraphFont"/>
    <w:link w:val="BodyText2"/>
    <w:rsid w:val="00B81107"/>
    <w:rPr>
      <w:rFonts w:ascii="Times New Roman" w:eastAsia="Times New Roman" w:hAnsi="Times New Roman" w:cs="Times New Roman"/>
      <w:b/>
      <w:sz w:val="28"/>
      <w:szCs w:val="20"/>
    </w:rPr>
  </w:style>
  <w:style w:type="character" w:styleId="UnresolvedMention">
    <w:name w:val="Unresolved Mention"/>
    <w:basedOn w:val="DefaultParagraphFont"/>
    <w:uiPriority w:val="99"/>
    <w:rsid w:val="008F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een.zarif@akd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7493-DE7E-D540-BF6F-D931C582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Dulay</dc:creator>
  <cp:lastModifiedBy>Abdul Fahim Rahimi</cp:lastModifiedBy>
  <cp:revision>4</cp:revision>
  <cp:lastPrinted>2016-07-18T12:36:00Z</cp:lastPrinted>
  <dcterms:created xsi:type="dcterms:W3CDTF">2024-05-06T14:10:00Z</dcterms:created>
  <dcterms:modified xsi:type="dcterms:W3CDTF">2024-05-06T14:13:00Z</dcterms:modified>
</cp:coreProperties>
</file>